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firstLine="420" w:firstLineChars="0"/>
        <w:jc w:val="center"/>
        <w:textAlignment w:val="auto"/>
        <w:rPr>
          <w:rFonts w:hint="eastAsia" w:ascii="方正小标宋_GBK" w:hAnsi="方正小标宋_GBK" w:eastAsia="方正小标宋_GBK" w:cs="方正小标宋_GBK"/>
          <w:b w:val="0"/>
          <w:bCs w:val="0"/>
          <w:color w:val="auto"/>
          <w:sz w:val="44"/>
          <w:szCs w:val="44"/>
          <w:lang w:val="en-US" w:eastAsia="zh-CN"/>
        </w:rPr>
      </w:pPr>
    </w:p>
    <w:p>
      <w:pPr>
        <w:keepNext w:val="0"/>
        <w:keepLines w:val="0"/>
        <w:pageBreakBefore w:val="0"/>
        <w:kinsoku/>
        <w:wordWrap/>
        <w:overflowPunct/>
        <w:topLinePunct w:val="0"/>
        <w:autoSpaceDE/>
        <w:autoSpaceDN/>
        <w:bidi w:val="0"/>
        <w:adjustRightInd/>
        <w:snapToGrid/>
        <w:spacing w:line="560" w:lineRule="exact"/>
        <w:ind w:firstLine="420" w:firstLineChars="0"/>
        <w:jc w:val="center"/>
        <w:textAlignment w:val="auto"/>
        <w:rPr>
          <w:rFonts w:hint="eastAsia" w:ascii="方正小标宋_GBK" w:hAnsi="方正小标宋_GBK" w:eastAsia="方正小标宋_GBK" w:cs="方正小标宋_GBK"/>
          <w:b w:val="0"/>
          <w:bCs w:val="0"/>
          <w:color w:val="auto"/>
          <w:sz w:val="44"/>
          <w:szCs w:val="44"/>
          <w:lang w:val="en-US" w:eastAsia="zh-CN"/>
        </w:rPr>
      </w:pPr>
      <w:r>
        <w:rPr>
          <w:rFonts w:hint="eastAsia" w:ascii="方正小标宋_GBK" w:hAnsi="方正小标宋_GBK" w:eastAsia="方正小标宋_GBK" w:cs="方正小标宋_GBK"/>
          <w:b w:val="0"/>
          <w:bCs w:val="0"/>
          <w:color w:val="auto"/>
          <w:sz w:val="44"/>
          <w:szCs w:val="44"/>
          <w:lang w:val="en-US" w:eastAsia="zh-CN"/>
        </w:rPr>
        <w:t>新疆生产建设兵团</w:t>
      </w:r>
    </w:p>
    <w:p>
      <w:pPr>
        <w:keepNext w:val="0"/>
        <w:keepLines w:val="0"/>
        <w:pageBreakBefore w:val="0"/>
        <w:kinsoku/>
        <w:wordWrap/>
        <w:overflowPunct/>
        <w:topLinePunct w:val="0"/>
        <w:autoSpaceDE/>
        <w:autoSpaceDN/>
        <w:bidi w:val="0"/>
        <w:adjustRightInd/>
        <w:snapToGrid/>
        <w:spacing w:line="560" w:lineRule="exact"/>
        <w:ind w:firstLine="420" w:firstLineChars="0"/>
        <w:jc w:val="center"/>
        <w:textAlignment w:val="auto"/>
        <w:rPr>
          <w:rFonts w:hint="eastAsia" w:ascii="方正小标宋_GBK" w:hAnsi="方正小标宋_GBK" w:eastAsia="方正小标宋_GBK" w:cs="方正小标宋_GBK"/>
          <w:b w:val="0"/>
          <w:bCs w:val="0"/>
          <w:color w:val="auto"/>
          <w:sz w:val="44"/>
          <w:szCs w:val="44"/>
          <w:lang w:val="en-US" w:eastAsia="zh-CN"/>
        </w:rPr>
      </w:pPr>
      <w:r>
        <w:rPr>
          <w:rFonts w:hint="eastAsia" w:ascii="方正小标宋_GBK" w:hAnsi="方正小标宋_GBK" w:eastAsia="方正小标宋_GBK" w:cs="方正小标宋_GBK"/>
          <w:b w:val="0"/>
          <w:bCs w:val="0"/>
          <w:color w:val="auto"/>
          <w:sz w:val="44"/>
          <w:szCs w:val="44"/>
          <w:lang w:val="en-US" w:eastAsia="zh-CN"/>
        </w:rPr>
        <w:t>住房公积金维权纠纷调解工作制度</w:t>
      </w:r>
    </w:p>
    <w:p>
      <w:pPr>
        <w:keepNext w:val="0"/>
        <w:keepLines w:val="0"/>
        <w:pageBreakBefore w:val="0"/>
        <w:kinsoku/>
        <w:wordWrap/>
        <w:overflowPunct/>
        <w:topLinePunct w:val="0"/>
        <w:autoSpaceDE/>
        <w:autoSpaceDN/>
        <w:bidi w:val="0"/>
        <w:adjustRightInd/>
        <w:snapToGrid/>
        <w:spacing w:line="560" w:lineRule="exact"/>
        <w:ind w:firstLine="420" w:firstLineChars="0"/>
        <w:jc w:val="center"/>
        <w:textAlignment w:val="auto"/>
        <w:rPr>
          <w:rFonts w:hint="eastAsia" w:ascii="方正小标宋_GBK" w:hAnsi="方正小标宋_GBK" w:eastAsia="方正小标宋_GBK" w:cs="方正小标宋_GBK"/>
          <w:b w:val="0"/>
          <w:bCs w:val="0"/>
          <w:color w:val="auto"/>
          <w:sz w:val="44"/>
          <w:szCs w:val="44"/>
          <w:lang w:val="en-US" w:eastAsia="zh-CN"/>
        </w:rPr>
      </w:pPr>
      <w:r>
        <w:rPr>
          <w:rFonts w:hint="eastAsia" w:ascii="方正小标宋_GBK" w:hAnsi="方正小标宋_GBK" w:eastAsia="方正小标宋_GBK" w:cs="方正小标宋_GBK"/>
          <w:b w:val="0"/>
          <w:bCs w:val="0"/>
          <w:color w:val="auto"/>
          <w:sz w:val="44"/>
          <w:szCs w:val="44"/>
          <w:lang w:val="en-US" w:eastAsia="zh-CN"/>
        </w:rPr>
        <w:t>（试行）</w:t>
      </w:r>
    </w:p>
    <w:p>
      <w:pPr>
        <w:keepNext w:val="0"/>
        <w:keepLines w:val="0"/>
        <w:pageBreakBefore w:val="0"/>
        <w:kinsoku/>
        <w:wordWrap/>
        <w:overflowPunct/>
        <w:topLinePunct w:val="0"/>
        <w:autoSpaceDE/>
        <w:autoSpaceDN/>
        <w:bidi w:val="0"/>
        <w:adjustRightInd/>
        <w:snapToGrid/>
        <w:spacing w:line="560" w:lineRule="exact"/>
        <w:ind w:firstLine="420" w:firstLineChars="0"/>
        <w:jc w:val="center"/>
        <w:textAlignment w:val="auto"/>
        <w:rPr>
          <w:rFonts w:hint="default" w:ascii="方正小标宋_GBK" w:hAnsi="方正小标宋_GBK" w:eastAsia="方正小标宋_GBK" w:cs="方正小标宋_GBK"/>
          <w:b w:val="0"/>
          <w:bCs w:val="0"/>
          <w:color w:val="auto"/>
          <w:sz w:val="44"/>
          <w:szCs w:val="44"/>
          <w:lang w:val="en-US" w:eastAsia="zh-CN"/>
        </w:rPr>
      </w:pPr>
      <w:r>
        <w:rPr>
          <w:rFonts w:hint="eastAsia" w:ascii="方正小标宋_GBK" w:hAnsi="方正小标宋_GBK" w:eastAsia="方正小标宋_GBK" w:cs="方正小标宋_GBK"/>
          <w:b w:val="0"/>
          <w:bCs w:val="0"/>
          <w:color w:val="auto"/>
          <w:sz w:val="44"/>
          <w:szCs w:val="44"/>
          <w:lang w:val="en-US" w:eastAsia="zh-CN"/>
        </w:rPr>
        <w:t>（征求意见稿）</w:t>
      </w: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color w:val="auto"/>
          <w:sz w:val="32"/>
          <w:szCs w:val="32"/>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b w:val="0"/>
          <w:bCs w:val="0"/>
          <w:color w:val="auto"/>
          <w:sz w:val="32"/>
          <w:szCs w:val="32"/>
          <w:lang w:val="en-US" w:eastAsia="zh-CN"/>
        </w:rPr>
        <w:t>第一条  为及时公正解决住房公积金维权纠纷，</w:t>
      </w:r>
      <w:r>
        <w:rPr>
          <w:rFonts w:hint="default" w:ascii="Times New Roman" w:hAnsi="Times New Roman" w:eastAsia="仿宋_GB2312" w:cs="Times New Roman"/>
          <w:b w:val="0"/>
          <w:bCs w:val="0"/>
          <w:color w:val="auto"/>
          <w:sz w:val="32"/>
          <w:szCs w:val="32"/>
        </w:rPr>
        <w:t>高效化解矛盾，维护缴存职工合法权益，</w:t>
      </w:r>
      <w:r>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t>助力优化营商环境，促进社会和谐，根据《住房公积金</w:t>
      </w:r>
      <w:bookmarkStart w:id="0" w:name="_GoBack"/>
      <w:bookmarkEnd w:id="0"/>
      <w:r>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t>管理条例》等有关法律法规及政策规定，结合兵团实际，制定本制度。</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t>第二条  本制度所称住房公积金维权纠纷调解，是指在兵团住房公积金管理中心（以下简称管理中心）及授权各管理部、各科室（以下简称分支机构）主持或参与主持，以当事人自愿为原则，依照法律、法规、规章及政策规定，通过协调、疏导等方法，让维权职工和被维权单位当事人双方就住房公积金纠纷通过平等协商、互谅互让，达成调解协议，妥善解决住房公积金矛盾纠纷的活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t>第三条  调解工作应遵循自愿平等、合法合理、公平公正、优先及时的原则。</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b w:val="0"/>
          <w:bCs w:val="0"/>
          <w:i w:val="0"/>
          <w:iCs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default" w:ascii="Times New Roman" w:hAnsi="Times New Roman" w:eastAsia="仿宋_GB2312" w:cs="Times New Roman"/>
          <w:b w:val="0"/>
          <w:bCs w:val="0"/>
          <w:i w:val="0"/>
          <w:iCs w:val="0"/>
          <w:caps w:val="0"/>
          <w:color w:val="000000" w:themeColor="text1"/>
          <w:spacing w:val="0"/>
          <w:kern w:val="0"/>
          <w:sz w:val="32"/>
          <w:szCs w:val="32"/>
          <w:shd w:val="clear" w:color="auto" w:fill="FFFFFF"/>
          <w:lang w:val="en-US" w:eastAsia="zh-CN" w:bidi="ar"/>
          <w14:textFill>
            <w14:solidFill>
              <w14:schemeClr w14:val="tx1"/>
            </w14:solidFill>
          </w14:textFill>
        </w:rPr>
        <w:t>第四条  住房公积金调解适用因单位逾期不缴或者少缴住房公积金而引发的职工维权纠纷。</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b w:val="0"/>
          <w:bCs w:val="0"/>
          <w:i w:val="0"/>
          <w:iCs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default" w:ascii="Times New Roman" w:hAnsi="Times New Roman" w:eastAsia="仿宋_GB2312" w:cs="Times New Roman"/>
          <w:b w:val="0"/>
          <w:bCs w:val="0"/>
          <w:i w:val="0"/>
          <w:iCs w:val="0"/>
          <w:caps w:val="0"/>
          <w:color w:val="000000" w:themeColor="text1"/>
          <w:spacing w:val="0"/>
          <w:kern w:val="0"/>
          <w:sz w:val="32"/>
          <w:szCs w:val="32"/>
          <w:shd w:val="clear" w:color="auto" w:fill="FFFFFF"/>
          <w:lang w:val="en-US" w:eastAsia="zh-CN" w:bidi="ar"/>
          <w14:textFill>
            <w14:solidFill>
              <w14:schemeClr w14:val="tx1"/>
            </w14:solidFill>
          </w14:textFill>
        </w:rPr>
        <w:t>职工投诉单位未依法办理住房公积金缴存登记或未为其设立住房公积金个人账户的案件，不得调解。</w:t>
      </w:r>
    </w:p>
    <w:p>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t>第五条  管理中心在处理维权投诉的过程中，应当鼓励和引导当事人双方优先选择调解方式处理矛盾纠纷，但不影响依法履行日常监管职责。</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第六条</w:t>
      </w:r>
      <w:r>
        <w:rPr>
          <w:rFonts w:hint="default" w:ascii="Times New Roman" w:hAnsi="Times New Roman" w:eastAsia="仿宋_GB2312" w:cs="Times New Roman"/>
          <w:b w:val="0"/>
          <w:bCs w:val="0"/>
          <w:color w:val="auto"/>
          <w:sz w:val="32"/>
          <w:szCs w:val="32"/>
          <w:lang w:val="en-US" w:eastAsia="zh-CN"/>
        </w:rPr>
        <w:t xml:space="preserve">  </w:t>
      </w:r>
      <w:r>
        <w:rPr>
          <w:rFonts w:hint="default" w:ascii="Times New Roman" w:hAnsi="Times New Roman" w:eastAsia="仿宋_GB2312" w:cs="Times New Roman"/>
          <w:b w:val="0"/>
          <w:bCs w:val="0"/>
          <w:color w:val="auto"/>
          <w:sz w:val="32"/>
          <w:szCs w:val="32"/>
        </w:rPr>
        <w:t>住房公积金纠纷调解不得向单位和职工收取任何费用，所需费用在管理中心经费中列支。</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Times New Roman" w:hAnsi="Times New Roman" w:eastAsia="仿宋_GB2312" w:cs="Times New Roman"/>
          <w:b w:val="0"/>
          <w:bCs w:val="0"/>
          <w:i w:val="0"/>
          <w:iCs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default" w:ascii="Times New Roman" w:hAnsi="Times New Roman" w:eastAsia="仿宋_GB2312" w:cs="Times New Roman"/>
          <w:b w:val="0"/>
          <w:bCs w:val="0"/>
          <w:i w:val="0"/>
          <w:iCs w:val="0"/>
          <w:caps w:val="0"/>
          <w:color w:val="000000" w:themeColor="text1"/>
          <w:spacing w:val="0"/>
          <w:kern w:val="0"/>
          <w:sz w:val="32"/>
          <w:szCs w:val="32"/>
          <w:shd w:val="clear" w:color="auto" w:fill="FFFFFF"/>
          <w:lang w:val="en-US" w:eastAsia="zh-CN" w:bidi="ar"/>
          <w14:textFill>
            <w14:solidFill>
              <w14:schemeClr w14:val="tx1"/>
            </w14:solidFill>
          </w14:textFill>
        </w:rPr>
        <w:t>第七条  管理中心可以委托、联合符合资质的调解组织、律师事务所等第三方机构调解住房公积金欠缴纠纷；对于疑难复杂案件，可以优先委托具备劳动及住房公积金领域执业经验的律师事务所指派专业律师参与调解。</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t>第八条  管理中心为兵团辖区内住房公积金维权纠纷调解工作的主管部门，负责调解组织建设、流程规范、监督管理等工作。调解工作实行属地管理，由纠纷发生地的住房公积金分支机构具体承办。分支机构应当设立行政执法调解室，并配备符合行政执法全过程记录要求的音像记录设备，设备应当满足高清摄录、存储时长不少于6个月的标准，相关采购及运维经费纳入管理中心年度经费预算统一列支。</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Times New Roman" w:hAnsi="Times New Roman" w:eastAsia="仿宋_GB2312" w:cs="Times New Roman"/>
          <w:b w:val="0"/>
          <w:bCs w:val="0"/>
          <w:i w:val="0"/>
          <w:iCs w:val="0"/>
          <w:caps w:val="0"/>
          <w:color w:val="000000" w:themeColor="text1"/>
          <w:spacing w:val="0"/>
          <w:kern w:val="0"/>
          <w:sz w:val="32"/>
          <w:szCs w:val="32"/>
          <w:shd w:val="clear" w:color="auto" w:fill="FFFFFF"/>
          <w:lang w:val="en-US" w:eastAsia="zh-CN" w:bidi="ar"/>
          <w14:textFill>
            <w14:solidFill>
              <w14:schemeClr w14:val="tx1"/>
            </w14:solidFill>
          </w14:textFill>
        </w:rPr>
      </w:pPr>
      <w:r>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t>第九条  调解工作一般自申请调解之日起30日内完成，情况复杂的经管理中心批准可延长办结期限，但延长时间不得超过20日，且延长次数仅限1次，延长后仍未</w:t>
      </w:r>
      <w:r>
        <w:rPr>
          <w:rFonts w:hint="default" w:ascii="Times New Roman" w:hAnsi="Times New Roman" w:eastAsia="仿宋_GB2312" w:cs="Times New Roman"/>
          <w:b w:val="0"/>
          <w:bCs w:val="0"/>
          <w:i w:val="0"/>
          <w:iCs w:val="0"/>
          <w:caps w:val="0"/>
          <w:color w:val="000000" w:themeColor="text1"/>
          <w:spacing w:val="0"/>
          <w:kern w:val="0"/>
          <w:sz w:val="32"/>
          <w:szCs w:val="32"/>
          <w:shd w:val="clear" w:color="auto" w:fill="FFFFFF"/>
          <w:lang w:val="en-US" w:eastAsia="zh-CN" w:bidi="ar"/>
          <w14:textFill>
            <w14:solidFill>
              <w14:schemeClr w14:val="tx1"/>
            </w14:solidFill>
          </w14:textFill>
        </w:rPr>
        <w:t>达成调解协议的，必须立即终止调解转入行政执法程序。在规定时间内达不成调解协议的，应当及时终止调解，依法作出处理或转入行政执法程序。</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t>第十条  当事人可以委托1至2名代理人参加调解，委托代理人参加调解的，应当提交授权委托书，</w:t>
      </w:r>
      <w:r>
        <w:rPr>
          <w:rFonts w:hint="default" w:ascii="Times New Roman" w:hAnsi="Times New Roman" w:eastAsia="仿宋_GB2312" w:cs="Times New Roman"/>
          <w:b w:val="0"/>
          <w:bCs w:val="0"/>
          <w:color w:val="000000" w:themeColor="text1"/>
          <w:kern w:val="2"/>
          <w:sz w:val="32"/>
          <w:szCs w:val="32"/>
          <w:lang w:val="en-US" w:eastAsia="zh-CN"/>
          <w14:textFill>
            <w14:solidFill>
              <w14:schemeClr w14:val="tx1"/>
            </w14:solidFill>
          </w14:textFill>
        </w:rPr>
        <w:t>授权委托书应当载明委托人和代理人的基本信息和有效联系方式、委托事项、委托权限和期限，并由委托人签名</w:t>
      </w:r>
      <w:r>
        <w:rPr>
          <w:rFonts w:hint="default" w:ascii="Times New Roman" w:hAnsi="Times New Roman" w:eastAsia="仿宋_GB2312" w:cs="Times New Roman"/>
          <w:b w:val="0"/>
          <w:bCs w:val="0"/>
          <w:i w:val="0"/>
          <w:iCs w:val="0"/>
          <w:caps w:val="0"/>
          <w:color w:val="000000" w:themeColor="text1"/>
          <w:spacing w:val="0"/>
          <w:kern w:val="0"/>
          <w:sz w:val="32"/>
          <w:szCs w:val="32"/>
          <w:shd w:val="clear" w:color="auto" w:fill="FFFFFF"/>
          <w:lang w:val="en-US" w:eastAsia="zh-CN" w:bidi="ar"/>
          <w14:textFill>
            <w14:solidFill>
              <w14:schemeClr w14:val="tx1"/>
            </w14:solidFill>
          </w14:textFill>
        </w:rPr>
        <w:t>。</w:t>
      </w:r>
      <w:r>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t>当事人不能参加调解的，应当明确至少1名代理人的委托权限为特别授权。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Times New Roman" w:hAnsi="Times New Roman" w:eastAsia="仿宋_GB2312" w:cs="Times New Roman"/>
          <w:b w:val="0"/>
          <w:bCs w:val="0"/>
          <w:i w:val="0"/>
          <w:iCs w:val="0"/>
          <w:caps w:val="0"/>
          <w:color w:val="0000FF"/>
          <w:spacing w:val="0"/>
          <w:kern w:val="0"/>
          <w:sz w:val="32"/>
          <w:szCs w:val="32"/>
          <w:shd w:val="clear" w:color="auto" w:fill="FFFFFF"/>
          <w:lang w:val="en-US" w:eastAsia="zh-CN" w:bidi="ar"/>
        </w:rPr>
      </w:pPr>
      <w:r>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t>第十一条  受理投诉后，调解人员对争议事项进行必要的调查，并按规定及时组织调解。</w:t>
      </w:r>
      <w:r>
        <w:rPr>
          <w:rFonts w:hint="default" w:ascii="Times New Roman" w:hAnsi="Times New Roman" w:eastAsia="仿宋_GB2312" w:cs="Times New Roman"/>
          <w:b w:val="0"/>
          <w:bCs w:val="0"/>
          <w:i w:val="0"/>
          <w:iCs w:val="0"/>
          <w:caps w:val="0"/>
          <w:color w:val="auto"/>
          <w:spacing w:val="0"/>
          <w:sz w:val="32"/>
          <w:szCs w:val="32"/>
          <w:shd w:val="clear" w:color="auto" w:fill="FFFFFF"/>
          <w:lang w:val="en-US" w:eastAsia="zh-CN"/>
        </w:rPr>
        <w:t>调解</w:t>
      </w:r>
      <w:r>
        <w:rPr>
          <w:rFonts w:hint="default" w:ascii="Times New Roman" w:hAnsi="Times New Roman" w:eastAsia="仿宋_GB2312" w:cs="Times New Roman"/>
          <w:b w:val="0"/>
          <w:bCs w:val="0"/>
          <w:i w:val="0"/>
          <w:iCs w:val="0"/>
          <w:caps w:val="0"/>
          <w:color w:val="auto"/>
          <w:spacing w:val="0"/>
          <w:sz w:val="32"/>
          <w:szCs w:val="32"/>
          <w:shd w:val="clear" w:color="auto" w:fill="FFFFFF"/>
        </w:rPr>
        <w:t>人员可以通过电话沟通、上门普法、协调会等多种方式开展调解。</w:t>
      </w:r>
      <w:r>
        <w:rPr>
          <w:rFonts w:hint="default" w:ascii="Times New Roman" w:hAnsi="Times New Roman" w:eastAsia="仿宋_GB2312" w:cs="Times New Roman"/>
          <w:b w:val="0"/>
          <w:bCs w:val="0"/>
          <w:i w:val="0"/>
          <w:iCs w:val="0"/>
          <w:caps w:val="0"/>
          <w:color w:val="000000" w:themeColor="text1"/>
          <w:spacing w:val="0"/>
          <w:sz w:val="32"/>
          <w:szCs w:val="32"/>
          <w:shd w:val="clear" w:color="auto" w:fill="FFFFFF"/>
          <w:lang w:val="en-US" w:eastAsia="zh-CN"/>
          <w14:textFill>
            <w14:solidFill>
              <w14:schemeClr w14:val="tx1"/>
            </w14:solidFill>
          </w14:textFill>
        </w:rPr>
        <w:t>调解过程中，单位与职工协商一致的可按不低于5%的缴存比例补缴。</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t>第十二条  达成调解协议的，经当事人双方签字确认《住房公积金维权纠纷调解协议书》，当事人各留执一份，分支机构留存一份。</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t>第十三条  在规定时限内达不成调解协议的，应当及时终止调解，依法作出处理或转入行政执法程序。维权纠纷案件正式立案后、</w:t>
      </w:r>
      <w:r>
        <w:rPr>
          <w:rFonts w:hint="default" w:ascii="Times New Roman" w:hAnsi="Times New Roman" w:eastAsia="仿宋_GB2312" w:cs="Times New Roman"/>
          <w:b w:val="0"/>
          <w:bCs w:val="0"/>
          <w:i w:val="0"/>
          <w:iCs w:val="0"/>
          <w:caps w:val="0"/>
          <w:color w:val="000000" w:themeColor="text1"/>
          <w:spacing w:val="0"/>
          <w:kern w:val="0"/>
          <w:sz w:val="32"/>
          <w:szCs w:val="32"/>
          <w:shd w:val="clear" w:color="auto" w:fill="FFFFFF"/>
          <w:lang w:val="en-US" w:eastAsia="zh-CN" w:bidi="ar"/>
          <w14:textFill>
            <w14:solidFill>
              <w14:schemeClr w14:val="tx1"/>
            </w14:solidFill>
          </w14:textFill>
        </w:rPr>
        <w:t>具体行政行为作出前，当</w:t>
      </w:r>
      <w:r>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t>事人双方同意调解的，可转入调解程序，组织一次调解。</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t>第十四条  当事人双方已签订《住房公积金维权纠纷调解协议书》的，当事人就同一事项再次向管理中心投诉反映的，管理中心应当先核查协议履行情况：若单位已按协议足额履行缴存义务的，一般不予受理；若调解协议书已经获得人民法院司法确认的，不予受理投诉，引导当事人依法到人民法院申请强制执行；若单位未按协议履行缴存义务的且调解协议书未经人民法院司法确认的，告知当事人到人民法院起诉。</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t>第十五条  分支机构在调解过程中，可向当事人双方了解情况、要求提供必需资料，当事人应当配合。当事人有一方在调解过程中不配合调解工作的，经管理中心批准，可终止调解，按行政执法程序处理。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t>第十六条  当事人双方在调解活动中，享有申请回避、自主决定是否接受或终止调解、选择调解公开与否，及自主表达意愿和自愿达成协议的权利。</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t>第十七条  当事人双方在调解活动中应当如实陈述争议纠纷事实；遵守调解秩序；尊重对方的合法权益；尊重调解工作人员，慎重作出决定，对自己提出的主张及作出的表述均应自行承担相应法律责任。</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t>第十八条  本制度由新疆生产建设兵团住房公积金管理中心组织实施和解释。</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t>第十九条  本制度中的时限除明确标注为工作日的，均为自然日，不含法定节假日；若时限最后一日为法定节假日的，顺延至法定节假日后的第一个工作日。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pPr>
      <w:r>
        <w:rPr>
          <w:rFonts w:hint="default" w:ascii="Times New Roman" w:hAnsi="Times New Roman" w:eastAsia="仿宋_GB2312" w:cs="Times New Roman"/>
          <w:b w:val="0"/>
          <w:bCs w:val="0"/>
          <w:i w:val="0"/>
          <w:iCs w:val="0"/>
          <w:caps w:val="0"/>
          <w:color w:val="auto"/>
          <w:spacing w:val="0"/>
          <w:kern w:val="0"/>
          <w:sz w:val="32"/>
          <w:szCs w:val="32"/>
          <w:shd w:val="clear" w:color="auto" w:fill="FFFFFF"/>
          <w:lang w:val="en-US" w:eastAsia="zh-CN" w:bidi="ar"/>
        </w:rPr>
        <w:t>第二十条  本制度自印发之日起执行，有效期2年。</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b w:val="0"/>
          <w:bCs w:val="0"/>
          <w:i w:val="0"/>
          <w:iCs w:val="0"/>
          <w:caps w:val="0"/>
          <w:color w:val="auto"/>
          <w:spacing w:val="0"/>
          <w:kern w:val="0"/>
          <w:sz w:val="32"/>
          <w:szCs w:val="32"/>
          <w:shd w:val="clear" w:color="auto"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b w:val="0"/>
          <w:bCs w:val="0"/>
          <w:i w:val="0"/>
          <w:iCs w:val="0"/>
          <w:caps w:val="0"/>
          <w:color w:val="auto"/>
          <w:spacing w:val="0"/>
          <w:kern w:val="0"/>
          <w:sz w:val="32"/>
          <w:szCs w:val="32"/>
          <w:shd w:val="clear" w:color="auto" w:fill="FFFFFF"/>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8130CA"/>
    <w:rsid w:val="000A774E"/>
    <w:rsid w:val="00463E5A"/>
    <w:rsid w:val="012C02AA"/>
    <w:rsid w:val="01722CE5"/>
    <w:rsid w:val="01D95D73"/>
    <w:rsid w:val="022C32B8"/>
    <w:rsid w:val="02865DE3"/>
    <w:rsid w:val="02991F58"/>
    <w:rsid w:val="02A84927"/>
    <w:rsid w:val="02E57B39"/>
    <w:rsid w:val="033019D1"/>
    <w:rsid w:val="03C54153"/>
    <w:rsid w:val="04361003"/>
    <w:rsid w:val="04572ECA"/>
    <w:rsid w:val="046F08DA"/>
    <w:rsid w:val="0486343E"/>
    <w:rsid w:val="049913B0"/>
    <w:rsid w:val="04AB7F56"/>
    <w:rsid w:val="04D166A1"/>
    <w:rsid w:val="05157912"/>
    <w:rsid w:val="05384EC7"/>
    <w:rsid w:val="05E950EE"/>
    <w:rsid w:val="066D2024"/>
    <w:rsid w:val="06EB7B74"/>
    <w:rsid w:val="076B2E14"/>
    <w:rsid w:val="078B3040"/>
    <w:rsid w:val="08C13FC4"/>
    <w:rsid w:val="09417AF9"/>
    <w:rsid w:val="0A2C0AD4"/>
    <w:rsid w:val="0A875448"/>
    <w:rsid w:val="0A8A42EC"/>
    <w:rsid w:val="0B0A231F"/>
    <w:rsid w:val="0B5A770F"/>
    <w:rsid w:val="0B7A42CF"/>
    <w:rsid w:val="0C2A3584"/>
    <w:rsid w:val="0C6D2A31"/>
    <w:rsid w:val="0CCD2BF1"/>
    <w:rsid w:val="0D67175E"/>
    <w:rsid w:val="0D985714"/>
    <w:rsid w:val="0DEB3821"/>
    <w:rsid w:val="0E0B1E4C"/>
    <w:rsid w:val="0E142602"/>
    <w:rsid w:val="0E906CE8"/>
    <w:rsid w:val="0EDB16D9"/>
    <w:rsid w:val="0F173DEA"/>
    <w:rsid w:val="124174E8"/>
    <w:rsid w:val="13005DE9"/>
    <w:rsid w:val="143A5C5A"/>
    <w:rsid w:val="147633AD"/>
    <w:rsid w:val="14E53491"/>
    <w:rsid w:val="14E80EBD"/>
    <w:rsid w:val="15225111"/>
    <w:rsid w:val="15315181"/>
    <w:rsid w:val="165E0A32"/>
    <w:rsid w:val="16B470A9"/>
    <w:rsid w:val="173A679C"/>
    <w:rsid w:val="17C05162"/>
    <w:rsid w:val="17DC1984"/>
    <w:rsid w:val="17DC67B7"/>
    <w:rsid w:val="180D602A"/>
    <w:rsid w:val="192B7BB4"/>
    <w:rsid w:val="192F37C6"/>
    <w:rsid w:val="19404C27"/>
    <w:rsid w:val="19886B56"/>
    <w:rsid w:val="19DD42F7"/>
    <w:rsid w:val="1A5C11B2"/>
    <w:rsid w:val="1A71587E"/>
    <w:rsid w:val="1AA32B25"/>
    <w:rsid w:val="1AD75285"/>
    <w:rsid w:val="1B5811A6"/>
    <w:rsid w:val="1B6720C4"/>
    <w:rsid w:val="1B6B41F2"/>
    <w:rsid w:val="1C1D7F4B"/>
    <w:rsid w:val="1CCA6A0A"/>
    <w:rsid w:val="1CCE6EDF"/>
    <w:rsid w:val="1D561173"/>
    <w:rsid w:val="1D8D5ACC"/>
    <w:rsid w:val="1D937CCF"/>
    <w:rsid w:val="1DEE70E0"/>
    <w:rsid w:val="1E080A8A"/>
    <w:rsid w:val="1E426CF4"/>
    <w:rsid w:val="1E736A9B"/>
    <w:rsid w:val="1E841115"/>
    <w:rsid w:val="1F3A2BBC"/>
    <w:rsid w:val="1F3F6D51"/>
    <w:rsid w:val="1F4C1E14"/>
    <w:rsid w:val="1FCD182D"/>
    <w:rsid w:val="1FE81DA1"/>
    <w:rsid w:val="202D5ADC"/>
    <w:rsid w:val="203E7732"/>
    <w:rsid w:val="20641AA2"/>
    <w:rsid w:val="20772A87"/>
    <w:rsid w:val="21020AC6"/>
    <w:rsid w:val="222F4DF9"/>
    <w:rsid w:val="22404A11"/>
    <w:rsid w:val="225D5D19"/>
    <w:rsid w:val="228A1223"/>
    <w:rsid w:val="235E590A"/>
    <w:rsid w:val="235F7139"/>
    <w:rsid w:val="236F5C93"/>
    <w:rsid w:val="23CA3A20"/>
    <w:rsid w:val="23EA4DC0"/>
    <w:rsid w:val="245130D9"/>
    <w:rsid w:val="248130CA"/>
    <w:rsid w:val="24BD5E6F"/>
    <w:rsid w:val="24D77D10"/>
    <w:rsid w:val="24ED7364"/>
    <w:rsid w:val="25673EFF"/>
    <w:rsid w:val="25765215"/>
    <w:rsid w:val="28E56026"/>
    <w:rsid w:val="295A2AF3"/>
    <w:rsid w:val="2A8C03EB"/>
    <w:rsid w:val="2BE31D4A"/>
    <w:rsid w:val="2C7E613A"/>
    <w:rsid w:val="2CAF1456"/>
    <w:rsid w:val="2D2B27BC"/>
    <w:rsid w:val="2DE238BD"/>
    <w:rsid w:val="2E275F13"/>
    <w:rsid w:val="2E7E4EC6"/>
    <w:rsid w:val="2E8E12AE"/>
    <w:rsid w:val="2EAB6CAF"/>
    <w:rsid w:val="2EB130CF"/>
    <w:rsid w:val="2F2B21D0"/>
    <w:rsid w:val="2F6873E7"/>
    <w:rsid w:val="2F6B1015"/>
    <w:rsid w:val="2FC2565D"/>
    <w:rsid w:val="303E0197"/>
    <w:rsid w:val="31900117"/>
    <w:rsid w:val="31B33E39"/>
    <w:rsid w:val="31FF5B77"/>
    <w:rsid w:val="32785D94"/>
    <w:rsid w:val="32F25872"/>
    <w:rsid w:val="33B10F12"/>
    <w:rsid w:val="341671E2"/>
    <w:rsid w:val="343E3CC5"/>
    <w:rsid w:val="346473FC"/>
    <w:rsid w:val="34710F78"/>
    <w:rsid w:val="35185940"/>
    <w:rsid w:val="35892A5D"/>
    <w:rsid w:val="35994D59"/>
    <w:rsid w:val="36382069"/>
    <w:rsid w:val="370D400C"/>
    <w:rsid w:val="37313010"/>
    <w:rsid w:val="37AC2B0E"/>
    <w:rsid w:val="383E06C3"/>
    <w:rsid w:val="386D7A7D"/>
    <w:rsid w:val="386E3FA4"/>
    <w:rsid w:val="38F03C64"/>
    <w:rsid w:val="392D2BA6"/>
    <w:rsid w:val="393D17BD"/>
    <w:rsid w:val="39E61DBC"/>
    <w:rsid w:val="3A39614F"/>
    <w:rsid w:val="3B8A302A"/>
    <w:rsid w:val="3C0660C7"/>
    <w:rsid w:val="3C504CBB"/>
    <w:rsid w:val="3DF25B65"/>
    <w:rsid w:val="3E191969"/>
    <w:rsid w:val="3E545880"/>
    <w:rsid w:val="3E766EDC"/>
    <w:rsid w:val="3E7B20A0"/>
    <w:rsid w:val="3F123A24"/>
    <w:rsid w:val="3F6D61C0"/>
    <w:rsid w:val="40003E4E"/>
    <w:rsid w:val="407C2235"/>
    <w:rsid w:val="40D8304C"/>
    <w:rsid w:val="414B3955"/>
    <w:rsid w:val="419D2A27"/>
    <w:rsid w:val="41DE3205"/>
    <w:rsid w:val="424A5FA2"/>
    <w:rsid w:val="4251002F"/>
    <w:rsid w:val="42CD0CF9"/>
    <w:rsid w:val="438015EB"/>
    <w:rsid w:val="4413143B"/>
    <w:rsid w:val="44827B93"/>
    <w:rsid w:val="459A2853"/>
    <w:rsid w:val="45DA5B66"/>
    <w:rsid w:val="466F6A86"/>
    <w:rsid w:val="470222D0"/>
    <w:rsid w:val="47205812"/>
    <w:rsid w:val="4735451A"/>
    <w:rsid w:val="47CD59B8"/>
    <w:rsid w:val="4873707E"/>
    <w:rsid w:val="48BD34AF"/>
    <w:rsid w:val="49D018A3"/>
    <w:rsid w:val="4A092BE9"/>
    <w:rsid w:val="4A4C7E0D"/>
    <w:rsid w:val="4ADC4BBD"/>
    <w:rsid w:val="4B9E32B6"/>
    <w:rsid w:val="4BAC529A"/>
    <w:rsid w:val="4BE105A7"/>
    <w:rsid w:val="4CE813FD"/>
    <w:rsid w:val="4E4336C5"/>
    <w:rsid w:val="4EBB6074"/>
    <w:rsid w:val="4F503B53"/>
    <w:rsid w:val="4F700A9C"/>
    <w:rsid w:val="4FA16BD7"/>
    <w:rsid w:val="4FDC0BA7"/>
    <w:rsid w:val="4FFD223E"/>
    <w:rsid w:val="50523161"/>
    <w:rsid w:val="50FC1C96"/>
    <w:rsid w:val="526C2D42"/>
    <w:rsid w:val="52D65ECA"/>
    <w:rsid w:val="53605300"/>
    <w:rsid w:val="53BF3B4B"/>
    <w:rsid w:val="54BA4806"/>
    <w:rsid w:val="551551E3"/>
    <w:rsid w:val="555A7758"/>
    <w:rsid w:val="55E42A09"/>
    <w:rsid w:val="57851DCD"/>
    <w:rsid w:val="58641753"/>
    <w:rsid w:val="5AF14122"/>
    <w:rsid w:val="5B665751"/>
    <w:rsid w:val="5C0F1A5B"/>
    <w:rsid w:val="5C5C4C1B"/>
    <w:rsid w:val="5D2B6EFA"/>
    <w:rsid w:val="5D8D0784"/>
    <w:rsid w:val="5DD45E7F"/>
    <w:rsid w:val="5DD65F7A"/>
    <w:rsid w:val="5E344FC4"/>
    <w:rsid w:val="5E4E0FC9"/>
    <w:rsid w:val="5F2604ED"/>
    <w:rsid w:val="5F3B69DD"/>
    <w:rsid w:val="5FFC74F8"/>
    <w:rsid w:val="613D2BF2"/>
    <w:rsid w:val="61A4105D"/>
    <w:rsid w:val="61B63637"/>
    <w:rsid w:val="624E6C0B"/>
    <w:rsid w:val="62CE406B"/>
    <w:rsid w:val="62E63288"/>
    <w:rsid w:val="63210A27"/>
    <w:rsid w:val="63844B3A"/>
    <w:rsid w:val="639A02B2"/>
    <w:rsid w:val="63A25361"/>
    <w:rsid w:val="64EE49C7"/>
    <w:rsid w:val="65E21C04"/>
    <w:rsid w:val="665A0B04"/>
    <w:rsid w:val="66BD52A2"/>
    <w:rsid w:val="68995A73"/>
    <w:rsid w:val="68A247E0"/>
    <w:rsid w:val="68E94F75"/>
    <w:rsid w:val="69410409"/>
    <w:rsid w:val="698F2165"/>
    <w:rsid w:val="6A1900C9"/>
    <w:rsid w:val="6A510421"/>
    <w:rsid w:val="6A567DB8"/>
    <w:rsid w:val="6AB545DA"/>
    <w:rsid w:val="6AF002C8"/>
    <w:rsid w:val="6B0C0834"/>
    <w:rsid w:val="6E2B4544"/>
    <w:rsid w:val="6ED055CD"/>
    <w:rsid w:val="6EE47A76"/>
    <w:rsid w:val="6EEA0DF0"/>
    <w:rsid w:val="6F16498B"/>
    <w:rsid w:val="701B2339"/>
    <w:rsid w:val="706C1818"/>
    <w:rsid w:val="70B86AE6"/>
    <w:rsid w:val="70D5431F"/>
    <w:rsid w:val="7138256E"/>
    <w:rsid w:val="713F52F3"/>
    <w:rsid w:val="716F0E9C"/>
    <w:rsid w:val="71763EA8"/>
    <w:rsid w:val="71E133B1"/>
    <w:rsid w:val="726E6D2F"/>
    <w:rsid w:val="73871E3D"/>
    <w:rsid w:val="7417713E"/>
    <w:rsid w:val="749540B5"/>
    <w:rsid w:val="756B73EC"/>
    <w:rsid w:val="75F1368C"/>
    <w:rsid w:val="77460E98"/>
    <w:rsid w:val="79150EEF"/>
    <w:rsid w:val="79E644FF"/>
    <w:rsid w:val="79EF3E56"/>
    <w:rsid w:val="7A7A3899"/>
    <w:rsid w:val="7D960FED"/>
    <w:rsid w:val="7E1B1708"/>
    <w:rsid w:val="7F2F6003"/>
    <w:rsid w:val="7FB97FC5"/>
    <w:rsid w:val="7FD14B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59</TotalTime>
  <ScaleCrop>false</ScaleCrop>
  <LinksUpToDate>false</LinksUpToDate>
  <CharactersWithSpaces>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2026-01-28T03:15:00Z</dcterms:created>
  <dc:creator>Administrator</dc:creator>
  <cp:lastModifiedBy>zhk</cp:lastModifiedBy>
  <cp:lastPrinted>2026-07-14T04:21:00Z</cp:lastPrinted>
  <dcterms:modified xsi:type="dcterms:W3CDTF">2026-09-16T09:09:13Z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