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1E9B60">
      <w:pPr>
        <w:spacing w:line="560" w:lineRule="exact"/>
        <w:ind w:right="-69" w:rightChars="-33"/>
        <w:jc w:val="center"/>
        <w:rPr>
          <w:rFonts w:hint="default" w:ascii="Times New Roman" w:hAnsi="Times New Roman" w:eastAsia="方正小标宋简体" w:cs="Times New Roman"/>
          <w:sz w:val="44"/>
          <w:szCs w:val="44"/>
        </w:rPr>
      </w:pPr>
      <w:bookmarkStart w:id="1" w:name="_GoBack"/>
      <w:bookmarkEnd w:id="1"/>
    </w:p>
    <w:p w14:paraId="4C809B31">
      <w:pPr>
        <w:spacing w:line="560" w:lineRule="exact"/>
        <w:ind w:right="-69" w:rightChars="-33"/>
        <w:jc w:val="center"/>
        <w:rPr>
          <w:rFonts w:hint="default" w:ascii="Times New Roman" w:hAnsi="Times New Roman" w:eastAsia="方正小标宋简体" w:cs="Times New Roman"/>
          <w:sz w:val="44"/>
          <w:szCs w:val="44"/>
        </w:rPr>
      </w:pPr>
      <w:bookmarkStart w:id="0" w:name="OLE_LINK1"/>
      <w:r>
        <w:rPr>
          <w:rFonts w:hint="default" w:ascii="Times New Roman" w:hAnsi="Times New Roman" w:eastAsia="方正小标宋简体" w:cs="Times New Roman"/>
          <w:sz w:val="44"/>
          <w:szCs w:val="44"/>
        </w:rPr>
        <w:t>新疆生产建设兵团住房公积金缴存管理办法</w:t>
      </w:r>
    </w:p>
    <w:bookmarkEnd w:id="0"/>
    <w:p w14:paraId="37ACF09E">
      <w:pPr>
        <w:spacing w:line="560" w:lineRule="exact"/>
        <w:jc w:val="left"/>
        <w:rPr>
          <w:rFonts w:hint="default" w:ascii="Times New Roman" w:hAnsi="Times New Roman" w:eastAsia="黑体" w:cs="Times New Roman"/>
          <w:sz w:val="32"/>
          <w:szCs w:val="32"/>
        </w:rPr>
      </w:pPr>
    </w:p>
    <w:p w14:paraId="48F79022">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第一章</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 xml:space="preserve"> 总  则</w:t>
      </w:r>
    </w:p>
    <w:p w14:paraId="4FA4225E">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textAlignment w:val="auto"/>
        <w:rPr>
          <w:rFonts w:hint="default"/>
        </w:rPr>
      </w:pPr>
    </w:p>
    <w:p w14:paraId="3C631BF0">
      <w:pPr>
        <w:spacing w:line="560" w:lineRule="exact"/>
        <w:ind w:firstLine="643"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第一条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为规范兵团住房公积金缴存管理，维护住房公积金所有者合法权益，根据国务院《住房公积金管理条例》等规定，结合兵团实际，制定本办法。</w:t>
      </w:r>
    </w:p>
    <w:p w14:paraId="76214836">
      <w:pPr>
        <w:spacing w:line="560" w:lineRule="exact"/>
        <w:ind w:firstLine="643"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w:t>
      </w:r>
      <w:r>
        <w:rPr>
          <w:rFonts w:hint="default" w:ascii="Times New Roman" w:hAnsi="Times New Roman" w:eastAsia="仿宋_GB2312" w:cs="Times New Roman"/>
          <w:b/>
          <w:bCs/>
          <w:sz w:val="32"/>
          <w:szCs w:val="32"/>
          <w:lang w:val="en-US" w:eastAsia="zh-CN"/>
        </w:rPr>
        <w:t>二</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 xml:space="preserve"> 本办法适用于兵团所属国家机关、社会团体和企事业单位，以及兵团辖区内各类机构单位</w:t>
      </w:r>
      <w:r>
        <w:rPr>
          <w:rFonts w:hint="default" w:ascii="Times New Roman" w:hAnsi="Times New Roman" w:eastAsia="仿宋_GB2312" w:cs="Times New Roman"/>
          <w:color w:val="auto"/>
          <w:sz w:val="32"/>
          <w:szCs w:val="32"/>
        </w:rPr>
        <w:t>（以下统称“单位”）</w:t>
      </w:r>
      <w:r>
        <w:rPr>
          <w:rFonts w:hint="default" w:ascii="Times New Roman" w:hAnsi="Times New Roman" w:eastAsia="仿宋_GB2312" w:cs="Times New Roman"/>
          <w:color w:val="auto"/>
          <w:sz w:val="32"/>
          <w:szCs w:val="32"/>
          <w:lang w:val="en-US" w:eastAsia="zh-CN"/>
        </w:rPr>
        <w:t>职工住房公积金的缴存管理</w:t>
      </w:r>
      <w:r>
        <w:rPr>
          <w:rFonts w:hint="default" w:ascii="Times New Roman" w:hAnsi="Times New Roman" w:eastAsia="仿宋_GB2312" w:cs="Times New Roman"/>
          <w:sz w:val="32"/>
          <w:szCs w:val="32"/>
        </w:rPr>
        <w:t>。</w:t>
      </w:r>
    </w:p>
    <w:p w14:paraId="168ED41A">
      <w:pPr>
        <w:spacing w:line="560" w:lineRule="exact"/>
        <w:ind w:firstLine="643"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兵团住房公积金管理中心（以下简称“管理中心”）负责全兵团住房公积金缴存管理工作，包括住房公积金缴存登记、账户设立、账户变更与注销、缴存、转移、集中封存等业务。</w:t>
      </w:r>
    </w:p>
    <w:p w14:paraId="47F48B2B">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管理中心各科室、各管理部负责承办所辖区住房公积金具体缴存业务。管理中心应当委托银行办理住房公积金结算等金融业务。</w:t>
      </w:r>
    </w:p>
    <w:p w14:paraId="55C9C1A0">
      <w:pPr>
        <w:spacing w:line="560" w:lineRule="exact"/>
        <w:ind w:firstLine="643" w:firstLineChars="200"/>
        <w:jc w:val="left"/>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sz w:val="32"/>
          <w:szCs w:val="32"/>
        </w:rPr>
        <w:t>第</w:t>
      </w:r>
      <w:r>
        <w:rPr>
          <w:rFonts w:hint="default" w:ascii="Times New Roman" w:hAnsi="Times New Roman" w:eastAsia="仿宋_GB2312" w:cs="Times New Roman"/>
          <w:b/>
          <w:bCs/>
          <w:sz w:val="32"/>
          <w:szCs w:val="32"/>
          <w:lang w:val="en-US" w:eastAsia="zh-CN"/>
        </w:rPr>
        <w:t>四</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b w:val="0"/>
          <w:bCs w:val="0"/>
          <w:color w:val="auto"/>
          <w:sz w:val="32"/>
          <w:szCs w:val="32"/>
          <w:lang w:val="en-US" w:eastAsia="zh-CN"/>
        </w:rPr>
        <w:t>兵团单位应当为其在职职工缴存住房公积金。</w:t>
      </w:r>
    </w:p>
    <w:p w14:paraId="56045EB2">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职职工是指与单位存在劳动关系，在单位中工作并由单位支付工资的各类人员，以及有工作岗位，但由于学习、病伤产假（六个月以内）等原因暂未工作，仍由单位支付工资的人员。包括与单位签订劳动合同或符合劳动保障部门认定的形成事实劳动关系的在岗职工，不包括已离开本单位仍保留劳动关系的离岗职工。</w:t>
      </w:r>
    </w:p>
    <w:p w14:paraId="55A2E8A3">
      <w:pPr>
        <w:numPr>
          <w:ilvl w:val="0"/>
          <w:numId w:val="0"/>
        </w:numPr>
        <w:spacing w:line="560" w:lineRule="exact"/>
        <w:ind w:firstLine="643"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2"/>
          <w:sz w:val="32"/>
          <w:szCs w:val="32"/>
          <w:lang w:val="en-US" w:eastAsia="zh-CN" w:bidi="ar-SA"/>
        </w:rPr>
        <w:t>第五条</w:t>
      </w:r>
      <w:r>
        <w:rPr>
          <w:rFonts w:hint="default" w:ascii="Times New Roman" w:hAnsi="Times New Roman" w:eastAsia="仿宋_GB2312" w:cs="Times New Roman"/>
          <w:kern w:val="2"/>
          <w:sz w:val="32"/>
          <w:szCs w:val="32"/>
          <w:lang w:val="en-US" w:eastAsia="zh-CN" w:bidi="ar-SA"/>
        </w:rPr>
        <w:t xml:space="preserve">  </w:t>
      </w:r>
      <w:r>
        <w:rPr>
          <w:rFonts w:hint="default" w:ascii="Times New Roman" w:hAnsi="Times New Roman" w:eastAsia="仿宋_GB2312" w:cs="Times New Roman"/>
          <w:sz w:val="32"/>
          <w:szCs w:val="32"/>
        </w:rPr>
        <w:t>军队用人单位应当到驻地住房公积金管理中心办理文职人员住房公积金缴存登记，经管理中心审核后，办理住房公积金账户设立手续。</w:t>
      </w:r>
    </w:p>
    <w:p w14:paraId="73955B96">
      <w:pPr>
        <w:spacing w:line="560" w:lineRule="exact"/>
        <w:ind w:firstLine="643"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第六条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与</w:t>
      </w:r>
      <w:r>
        <w:rPr>
          <w:rFonts w:hint="default" w:ascii="Times New Roman" w:hAnsi="Times New Roman" w:eastAsia="仿宋_GB2312" w:cs="Times New Roman"/>
          <w:color w:val="000000"/>
          <w:sz w:val="32"/>
          <w:szCs w:val="32"/>
        </w:rPr>
        <w:t>兵团</w:t>
      </w:r>
      <w:r>
        <w:rPr>
          <w:rFonts w:hint="default" w:ascii="Times New Roman" w:hAnsi="Times New Roman" w:eastAsia="仿宋_GB2312" w:cs="Times New Roman"/>
          <w:sz w:val="32"/>
          <w:szCs w:val="32"/>
        </w:rPr>
        <w:t>单位存在劳动关系，且持有外国人永久居留身份证、港澳居民来往内地通行证、台湾居民来往大陆通行证、港澳台居民居住证的外籍、港、澳、台人员，所在单位和个人可以按规定缴存住房公积金。</w:t>
      </w:r>
    </w:p>
    <w:p w14:paraId="0D874EFF">
      <w:pPr>
        <w:spacing w:line="560" w:lineRule="exact"/>
        <w:ind w:firstLine="643"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第七条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 xml:space="preserve"> 职工个人缴存的住房公积金和职工所在单位为职工缴存的住房公积金，均属职工个人所有。职工使用应当遵守国家和管理中心有关规定。</w:t>
      </w:r>
    </w:p>
    <w:p w14:paraId="2F580025">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rPr>
          <w:rFonts w:hint="default" w:ascii="Times New Roman" w:hAnsi="Times New Roman" w:eastAsia="黑体" w:cs="Times New Roman"/>
          <w:sz w:val="32"/>
          <w:szCs w:val="32"/>
        </w:rPr>
      </w:pPr>
    </w:p>
    <w:p w14:paraId="2CB9C9D9">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第二章</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 xml:space="preserve"> 账户设立、变更与注销</w:t>
      </w:r>
    </w:p>
    <w:p w14:paraId="3642B7D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黑体" w:cs="Times New Roman"/>
          <w:sz w:val="32"/>
          <w:szCs w:val="32"/>
        </w:rPr>
      </w:pPr>
    </w:p>
    <w:p w14:paraId="06D6FC89">
      <w:pPr>
        <w:spacing w:line="560" w:lineRule="exact"/>
        <w:ind w:firstLine="643"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第八条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单位应当向管理中心办理住房公积金缴存登记，并为本单位职工办理住房公积金账户设立手续。每个职工只能有一个住房公积金账户。</w:t>
      </w:r>
    </w:p>
    <w:p w14:paraId="403EE883">
      <w:pPr>
        <w:spacing w:line="560" w:lineRule="exact"/>
        <w:ind w:firstLine="643"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第九条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 xml:space="preserve"> 新设立的单位应当自设立之日起30日内向管理中心办理住房公积金缴存登记，并自登记之日起20日内，为本单位职工办理住房公积金账户设立手续。</w:t>
      </w:r>
    </w:p>
    <w:p w14:paraId="13B524E2">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位合并、分立、撤销、解散或者破产的，应当自发生上述情况之日起30日内，由原单位或者清算组织向管理中心办理变更登记或者注销登记，并自办妥变更登记或者注销登记之日起20日内，为本单位职工办理住房公积金账户转移或者封存手续。逾期不办理注销登记手续或原单位、清算组织已灭失的，管理中心经查证核实后，统一进行挂网公示，公示满30日后，管理中心可直接办理注销登记。</w:t>
      </w:r>
    </w:p>
    <w:p w14:paraId="1127B50C">
      <w:pPr>
        <w:spacing w:line="560" w:lineRule="exact"/>
        <w:ind w:firstLine="643"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单位录用职工的，应当自建立劳动关系之日起30日内向管理中心办理缴存登记，并办理职工住房公积金账户的设立或者转移手续。</w:t>
      </w:r>
    </w:p>
    <w:p w14:paraId="56FDE5FB">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单位与职工终止劳动关系的，单位应当自劳动关系终止之日起30日内向管理中心办理变更登记，并办理职工住房公积金账户封存或者转移手续。</w:t>
      </w:r>
    </w:p>
    <w:p w14:paraId="6659FB53">
      <w:pPr>
        <w:spacing w:line="560" w:lineRule="exact"/>
        <w:ind w:firstLine="643"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第十一条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职工与单位中断工资关系的，职工个人账户应当自中断工资关系之日起30日内变更为暂停缴存状态。单位应当自工资关系中断之日起30日内为职工办理封存手续。</w:t>
      </w:r>
    </w:p>
    <w:p w14:paraId="3506CD46">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单位与职工恢复工资关系的，单位应当自恢复工资关系之日起30日内为职工办理住房公积金启封手续，将封存的职工个人账户恢复为缴存状态，继续缴存住房公积金。</w:t>
      </w:r>
    </w:p>
    <w:p w14:paraId="7B968102">
      <w:pPr>
        <w:spacing w:line="560" w:lineRule="exact"/>
        <w:ind w:firstLine="643"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第十二条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单位名称、法定代表人（或负责人）、单位经办人、地址等登记事项发生变更的，单位应当自发生变更之日起30日内，向管理中心办理变更登记。</w:t>
      </w:r>
    </w:p>
    <w:p w14:paraId="3EDE255A">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第十三条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职工姓名、身份证号码、联系方式等登记事项发生变更的，单位或职工应当自发生变更之日起30日内，向管理中心办理变更登记。</w:t>
      </w:r>
    </w:p>
    <w:p w14:paraId="54B6632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sz w:val="32"/>
          <w:szCs w:val="32"/>
        </w:rPr>
      </w:pPr>
    </w:p>
    <w:p w14:paraId="789780E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第三章</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 xml:space="preserve"> 缴  存</w:t>
      </w:r>
    </w:p>
    <w:p w14:paraId="681F18A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sz w:val="32"/>
          <w:szCs w:val="32"/>
        </w:rPr>
      </w:pPr>
    </w:p>
    <w:p w14:paraId="3EA62EC0">
      <w:pPr>
        <w:spacing w:line="560" w:lineRule="exact"/>
        <w:ind w:firstLine="643"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第十四条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住房公积金月缴存额由职工住房公积金月缴存额和单位为职工缴存的住房公积金月缴存额两部分组成。</w:t>
      </w:r>
    </w:p>
    <w:p w14:paraId="12470FED">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职工住房公积金月缴存额为职工本人上一自然年度月平均工资乘以职工住房公积金缴存比例。</w:t>
      </w:r>
    </w:p>
    <w:p w14:paraId="38EB6C62">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单位为职工缴存的住房公积金月缴存额为职工本人上一自然年度月平均工资乘以单位住房公积金缴存比例。</w:t>
      </w:r>
    </w:p>
    <w:p w14:paraId="0EDFC031">
      <w:pPr>
        <w:spacing w:line="560" w:lineRule="exact"/>
        <w:ind w:firstLine="643"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第十五条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新参加工作的职工从参加工作的第二个月开始缴存住房公积金。月缴存额为职工本人当月全月应发工资分别乘以当年单位和职工住房公积金缴存比例之和。</w:t>
      </w:r>
    </w:p>
    <w:p w14:paraId="4F4AE219">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单位新调入的职工从调入单位发放工资之日起缴存住房公积金。月缴存额为职工本人首月全月应发工资分别乘以当年单位和职工住房公积金缴存比例之和。</w:t>
      </w:r>
    </w:p>
    <w:p w14:paraId="1BDCDD08">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新参加工作的职工是指未曾与单位建立劳动关系的职工。</w:t>
      </w:r>
    </w:p>
    <w:p w14:paraId="50F2F0E2">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新调入的职工是指曾与其他单位建立劳动关系的职工。</w:t>
      </w:r>
    </w:p>
    <w:p w14:paraId="7EE22996">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工资总额组成按照国家有关规定执行。</w:t>
      </w:r>
    </w:p>
    <w:p w14:paraId="39C1EBA3">
      <w:pPr>
        <w:spacing w:line="560" w:lineRule="exact"/>
        <w:ind w:firstLine="643"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第十六条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每年的7月1日至次年的6月30日为一个汇缴年度。单位应在汇缴年度开始时，完成住房公积金缴存基数及缴存比例核定工作。职工缴存基数应每年核定一次，其中，当年新参加工作和新调入职工在年度缴存基数调整时，不再重新核定。 </w:t>
      </w:r>
    </w:p>
    <w:p w14:paraId="6D0B160C">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同一单位职工的缴存比例应一致，单位缴存比例和职工缴存比例宜一致。职工和单位住房公积金的缴存比例、缴存基数、月缴存额标准按照国家和管理中心有关规定。</w:t>
      </w:r>
    </w:p>
    <w:p w14:paraId="243FE7C3">
      <w:pPr>
        <w:spacing w:line="560" w:lineRule="exact"/>
        <w:ind w:firstLine="643"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第十七条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职工个人缴存的住房公积金，由所在单位每月从其工资中代扣代缴。单位应当于每月发放职工工资之日起5日内，将单位缴存的和为职工代缴的住房公积金汇缴到管理中心。</w:t>
      </w:r>
    </w:p>
    <w:p w14:paraId="386C0042">
      <w:pPr>
        <w:spacing w:line="560" w:lineRule="exact"/>
        <w:ind w:firstLine="643"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第十八条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职工与单位终止劳动关系当月工作时间未足月的，如果终止劳动关系当月单位发放其工资的，单位应当按其当月实际应发工资金额计算住房公积金缴存额。</w:t>
      </w:r>
    </w:p>
    <w:p w14:paraId="47AAE605">
      <w:pPr>
        <w:spacing w:line="560" w:lineRule="exact"/>
        <w:ind w:firstLine="643"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第十九条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单位应当按时、足额缴存住房公积金，不得逾期缴存或者少缴。单位欠缴职工住房公积金的，应当按照国家和管理中心有关规定将欠缴的住房公积金，补缴至职工住房公积金账户。</w:t>
      </w:r>
    </w:p>
    <w:p w14:paraId="76DEF768">
      <w:pPr>
        <w:spacing w:line="560" w:lineRule="exact"/>
        <w:ind w:firstLine="643"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单位合并、分立、撤销、解散或者破产的，应当为职工补缴欠缴的住房公积金。</w:t>
      </w:r>
    </w:p>
    <w:p w14:paraId="4141CC15">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单位发生合并、分立时，无力补缴住房公积金的，应当在办理有关手续前，明确住房公积金的补缴责任主体。</w:t>
      </w:r>
    </w:p>
    <w:p w14:paraId="6686C6EB">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单位发生撤销、解散或者破产的，应当按照国家和管理中心有关规定，清偿欠缴职工的住房公积金。</w:t>
      </w:r>
    </w:p>
    <w:p w14:paraId="6CCA905F">
      <w:pPr>
        <w:spacing w:line="560" w:lineRule="exact"/>
        <w:ind w:firstLine="643"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第二十一条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 xml:space="preserve"> 对缴存住房公积金确有困难的单位，经本单位职工代表大会或者工会讨论通过，可按照国家和管理中心有关规定申请降低缴存比例或缓缴住房公积金；待单位经济效益好转后，再提高缴存比例、补缴住房公积金。</w:t>
      </w:r>
    </w:p>
    <w:p w14:paraId="43080AEB">
      <w:pPr>
        <w:spacing w:line="560" w:lineRule="exact"/>
        <w:ind w:firstLine="643"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第二十二条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 xml:space="preserve"> 职工个人住房公积金账户出现以下错误缴存情形的，管理中心经核实后应办理错账调整：</w:t>
      </w:r>
    </w:p>
    <w:p w14:paraId="4C759D6A">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（一）因缴存单位或个人原因导致缴存错误的，应由单位申请发起错缴调整，管理中心办理错账调整时应与职工核实。</w:t>
      </w:r>
    </w:p>
    <w:p w14:paraId="08ED811C">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（二）因其他原因导致缴存错误的，应由管理中心核实后办理错账调整。</w:t>
      </w:r>
    </w:p>
    <w:p w14:paraId="77444C40">
      <w:pPr>
        <w:spacing w:line="560" w:lineRule="exact"/>
        <w:ind w:firstLine="643"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第二十三条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管理中心应当设立单位和职工缴存住房公积金明细账，为缴存住房公积金的职工提供缴存住房公积金的有效凭证。</w:t>
      </w:r>
    </w:p>
    <w:p w14:paraId="4B2058C6">
      <w:pPr>
        <w:spacing w:line="560" w:lineRule="exact"/>
        <w:ind w:firstLine="643"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第二十四条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兵团缴存住房公积金的职工因异地贷款等原因，可以向管理中心申请个人住房公积金缴存证明。</w:t>
      </w:r>
    </w:p>
    <w:p w14:paraId="22EC7416">
      <w:pPr>
        <w:spacing w:line="560" w:lineRule="exact"/>
        <w:ind w:firstLine="643"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第二十五条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兵团缴存住房公积金的单位，因拟上市、融资、审计等原因，可以向管理中心申请单位住房公积金缴存证明。</w:t>
      </w:r>
    </w:p>
    <w:p w14:paraId="1D40D504">
      <w:pPr>
        <w:spacing w:line="560" w:lineRule="exact"/>
        <w:ind w:firstLine="643"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第二十六条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单位有权查询本单位住房公积金的缴存情况，职工有权查询本人住房公积金的缴存情况，管理中心应当提供便利服务。</w:t>
      </w:r>
    </w:p>
    <w:p w14:paraId="6579B249">
      <w:pPr>
        <w:spacing w:line="560" w:lineRule="exact"/>
        <w:ind w:firstLine="643"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第二十七条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管理中心、单位及相关工作人员应当对职工的住房公积金账户信息保密。</w:t>
      </w:r>
    </w:p>
    <w:p w14:paraId="70673C75">
      <w:pPr>
        <w:spacing w:line="560" w:lineRule="exact"/>
        <w:ind w:firstLine="643"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第二十八条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住房公积金自存入职工住房公积金账户之日起按照国家规定的利率计息。住房公积金存款的结息日为每年6月30日。</w:t>
      </w:r>
    </w:p>
    <w:p w14:paraId="14901088">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黑体" w:cs="Times New Roman"/>
          <w:sz w:val="32"/>
          <w:szCs w:val="32"/>
        </w:rPr>
      </w:pPr>
    </w:p>
    <w:p w14:paraId="6872693E">
      <w:pPr>
        <w:spacing w:line="56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第四章</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 xml:space="preserve"> 账户转移、集中封存</w:t>
      </w:r>
    </w:p>
    <w:p w14:paraId="617F405F">
      <w:pPr>
        <w:pStyle w:val="2"/>
        <w:keepNext w:val="0"/>
        <w:keepLines w:val="0"/>
        <w:pageBreakBefore w:val="0"/>
        <w:widowControl w:val="0"/>
        <w:kinsoku/>
        <w:wordWrap/>
        <w:overflowPunct/>
        <w:topLinePunct w:val="0"/>
        <w:autoSpaceDE/>
        <w:autoSpaceDN/>
        <w:bidi w:val="0"/>
        <w:adjustRightInd/>
        <w:snapToGrid/>
        <w:spacing w:after="0" w:line="300" w:lineRule="exact"/>
        <w:textAlignment w:val="auto"/>
        <w:rPr>
          <w:rFonts w:hint="default"/>
        </w:rPr>
      </w:pPr>
    </w:p>
    <w:p w14:paraId="2DA91F27">
      <w:pPr>
        <w:spacing w:line="560" w:lineRule="exact"/>
        <w:ind w:firstLine="643"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第二十九条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账户转移是指由于单位调整或职工工作调动等原因，职工个人账户及其住房公积金由原单位账户转入新单位账户。账户转移包括兵团内部转移和兵团外部转移。</w:t>
      </w:r>
    </w:p>
    <w:p w14:paraId="5315F7E1">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兵团内部转移是指职工与单位终止劳动关系后，被另一兵团单位录用的，该单位应当自录用之日起30日内，将职工住房公积金账户转移到新单位，为职工缴存住房公积金。</w:t>
      </w:r>
    </w:p>
    <w:p w14:paraId="3E8B1002">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兵团外部转移是指职工与</w:t>
      </w:r>
      <w:r>
        <w:rPr>
          <w:rFonts w:hint="default" w:ascii="Times New Roman" w:hAnsi="Times New Roman" w:eastAsia="仿宋_GB2312" w:cs="Times New Roman"/>
          <w:b w:val="0"/>
          <w:bCs w:val="0"/>
          <w:color w:val="auto"/>
          <w:sz w:val="32"/>
          <w:szCs w:val="32"/>
        </w:rPr>
        <w:t>兵团</w:t>
      </w:r>
      <w:r>
        <w:rPr>
          <w:rFonts w:hint="default" w:ascii="Times New Roman" w:hAnsi="Times New Roman" w:eastAsia="仿宋_GB2312" w:cs="Times New Roman"/>
          <w:sz w:val="32"/>
          <w:szCs w:val="32"/>
        </w:rPr>
        <w:t>单位终止劳动关系后，已与</w:t>
      </w:r>
      <w:r>
        <w:rPr>
          <w:rFonts w:hint="default" w:ascii="Times New Roman" w:hAnsi="Times New Roman" w:eastAsia="仿宋_GB2312" w:cs="Times New Roman"/>
          <w:b w:val="0"/>
          <w:bCs w:val="0"/>
          <w:color w:val="auto"/>
          <w:sz w:val="32"/>
          <w:szCs w:val="32"/>
          <w:lang w:val="en-US" w:eastAsia="zh-CN"/>
        </w:rPr>
        <w:t>非兵团</w:t>
      </w:r>
      <w:r>
        <w:rPr>
          <w:rFonts w:hint="default" w:ascii="Times New Roman" w:hAnsi="Times New Roman" w:eastAsia="仿宋_GB2312" w:cs="Times New Roman"/>
          <w:sz w:val="32"/>
          <w:szCs w:val="32"/>
        </w:rPr>
        <w:t>单位建立劳动关系并设立住房公积金账户且兵团住房公积金账户封存满6个月后，通过全国住房公积金异地转移接续平台，将在兵团缴存的住房公积金转移至异地住房公积金账户。在兵团存在未结清住房公积金贷款的暂不转移，待贷款结清后，可办理转移。</w:t>
      </w:r>
    </w:p>
    <w:p w14:paraId="1CC001B2">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职工与兵团单位建立劳动关系、设立住房公积金账户并连续缴存6个月以上的，可通过全国住房公积金异地转移接续平台，将在异地缴存的住房公积金转入至兵团住房公积金账户。</w:t>
      </w:r>
    </w:p>
    <w:p w14:paraId="387431A1">
      <w:pPr>
        <w:spacing w:line="560" w:lineRule="exact"/>
        <w:ind w:firstLine="643"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第三十条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集中封存是指职工与单位终止劳动关系且不符合转移、销户提取条件的，其个人账户封存并由管理中心集中管理的行为。管理中心设立集中封存管理户，对集中封存账户和住房公积金进行管理。</w:t>
      </w:r>
    </w:p>
    <w:p w14:paraId="2A125F04">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职工符合集中封存条件的，单位应在30日内为其办理个人账户转入集中封存户手续。</w:t>
      </w:r>
    </w:p>
    <w:p w14:paraId="4B68B2AF">
      <w:pPr>
        <w:spacing w:line="560" w:lineRule="exact"/>
        <w:ind w:firstLine="643"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第三十一条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管理中心在办理转入集中封存手续时，发现账户信息缺失的，应当要求单位核对补齐相关信息。</w:t>
      </w:r>
    </w:p>
    <w:p w14:paraId="34DF0BCC">
      <w:pPr>
        <w:spacing w:line="560" w:lineRule="exact"/>
        <w:ind w:firstLine="643"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第三十二条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集中封存户职工个人身份信息与管理中心记载不一致的，职工可以持有效证明材料办理账户信息变更手续。</w:t>
      </w:r>
    </w:p>
    <w:p w14:paraId="09CF0164">
      <w:pPr>
        <w:spacing w:line="560" w:lineRule="exact"/>
        <w:ind w:firstLine="643"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第三十三条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单位不为职工办理住房公积金账户集中封存、转移手续的，职工可以凭有效证明材料向管理中心申请办理。</w:t>
      </w:r>
    </w:p>
    <w:p w14:paraId="5D45C0F4">
      <w:pPr>
        <w:spacing w:line="560" w:lineRule="exact"/>
        <w:jc w:val="center"/>
        <w:rPr>
          <w:rFonts w:hint="default" w:ascii="Times New Roman" w:hAnsi="Times New Roman" w:eastAsia="黑体" w:cs="Times New Roman"/>
          <w:sz w:val="32"/>
          <w:szCs w:val="32"/>
        </w:rPr>
      </w:pPr>
    </w:p>
    <w:p w14:paraId="5430A4D9">
      <w:pPr>
        <w:spacing w:line="56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第五章</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 xml:space="preserve"> 网上缴存</w:t>
      </w:r>
    </w:p>
    <w:p w14:paraId="77D02ED5">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textAlignment w:val="auto"/>
        <w:rPr>
          <w:rFonts w:hint="default"/>
        </w:rPr>
      </w:pPr>
    </w:p>
    <w:p w14:paraId="53BB72CE">
      <w:pPr>
        <w:spacing w:line="560" w:lineRule="exact"/>
        <w:ind w:firstLine="643"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第三十四条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管理中心应当积极推进网上办理业务，为缴存单位和职工提供简便、高效服务。</w:t>
      </w:r>
    </w:p>
    <w:p w14:paraId="56C6744E">
      <w:pPr>
        <w:spacing w:line="560" w:lineRule="exact"/>
        <w:ind w:firstLine="643"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第三十五条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 xml:space="preserve"> 网上办理业务审核标准应当与柜面业务审核标准一致，以保障职工住房公积金账户资金、信息安全。</w:t>
      </w:r>
    </w:p>
    <w:p w14:paraId="4F7B3B6C">
      <w:pPr>
        <w:spacing w:line="560" w:lineRule="exact"/>
        <w:ind w:firstLine="643"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第三十六条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 xml:space="preserve"> 管理中心对网上业务办理予以监督管理，建立网上业务办理的准入机制、责任机制、监督机制和信用机制，确保网上业务的规范有序安全运行。</w:t>
      </w:r>
    </w:p>
    <w:p w14:paraId="6046D952">
      <w:pPr>
        <w:spacing w:line="560" w:lineRule="exact"/>
        <w:jc w:val="left"/>
        <w:rPr>
          <w:rFonts w:hint="default" w:ascii="Times New Roman" w:hAnsi="Times New Roman" w:eastAsia="黑体" w:cs="Times New Roman"/>
          <w:sz w:val="32"/>
          <w:szCs w:val="32"/>
        </w:rPr>
      </w:pPr>
    </w:p>
    <w:p w14:paraId="77E381CE">
      <w:pPr>
        <w:spacing w:line="56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第六章 </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监  督</w:t>
      </w:r>
    </w:p>
    <w:p w14:paraId="4834180F">
      <w:pPr>
        <w:pStyle w:val="2"/>
        <w:keepNext w:val="0"/>
        <w:keepLines w:val="0"/>
        <w:pageBreakBefore w:val="0"/>
        <w:widowControl w:val="0"/>
        <w:kinsoku/>
        <w:wordWrap/>
        <w:overflowPunct/>
        <w:topLinePunct w:val="0"/>
        <w:autoSpaceDE/>
        <w:autoSpaceDN/>
        <w:bidi w:val="0"/>
        <w:adjustRightInd/>
        <w:snapToGrid/>
        <w:spacing w:after="0" w:line="300" w:lineRule="exact"/>
        <w:textAlignment w:val="auto"/>
        <w:rPr>
          <w:rFonts w:hint="default"/>
        </w:rPr>
      </w:pPr>
    </w:p>
    <w:p w14:paraId="6D7A1C47">
      <w:pPr>
        <w:spacing w:line="560" w:lineRule="exact"/>
        <w:ind w:firstLine="643"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第三十七条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管理中心缴存管理应当接受国家有关部门、单位和职工以及社会的监督。</w:t>
      </w:r>
    </w:p>
    <w:p w14:paraId="537FF042">
      <w:pPr>
        <w:spacing w:line="560" w:lineRule="exact"/>
        <w:ind w:firstLine="643"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第三十八条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 xml:space="preserve"> 管理中心应当加强对单位住房公积金缴存情况的监督检查。对单位不依法办理住房公积金缴存登记，或者不为本单位职工办理住房公积金账户设立手续，逾期不缴住房公积金或者少缴住房公积金等行为，管理中心应当依照《住房公积金管理条例》等规定予以处理。</w:t>
      </w:r>
    </w:p>
    <w:p w14:paraId="6E5DABC3">
      <w:pPr>
        <w:spacing w:line="560" w:lineRule="exact"/>
        <w:ind w:firstLine="643"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第三十九条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 xml:space="preserve"> 单位在办理住房公积金缴存业务时应当提供真实、合法、准确的证明材料及信息。单位提供虚假材料或信息的，管理中心依法将单位相关信息向社会公开并纳入信用系统；对协助造假的机构和人员，依法移送司法机关处理。</w:t>
      </w:r>
    </w:p>
    <w:p w14:paraId="7ECCB320">
      <w:pPr>
        <w:spacing w:line="560" w:lineRule="exact"/>
        <w:jc w:val="left"/>
        <w:rPr>
          <w:rFonts w:hint="default" w:ascii="Times New Roman" w:hAnsi="Times New Roman" w:eastAsia="黑体" w:cs="Times New Roman"/>
          <w:sz w:val="32"/>
          <w:szCs w:val="32"/>
        </w:rPr>
      </w:pPr>
    </w:p>
    <w:p w14:paraId="2F841B39">
      <w:pPr>
        <w:spacing w:line="56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第七章</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 xml:space="preserve"> 附  则</w:t>
      </w:r>
    </w:p>
    <w:p w14:paraId="20B82994">
      <w:pPr>
        <w:pStyle w:val="2"/>
        <w:keepNext w:val="0"/>
        <w:keepLines w:val="0"/>
        <w:pageBreakBefore w:val="0"/>
        <w:widowControl w:val="0"/>
        <w:kinsoku/>
        <w:wordWrap/>
        <w:overflowPunct/>
        <w:topLinePunct w:val="0"/>
        <w:autoSpaceDE/>
        <w:autoSpaceDN/>
        <w:bidi w:val="0"/>
        <w:adjustRightInd/>
        <w:snapToGrid/>
        <w:spacing w:after="0" w:line="300" w:lineRule="exact"/>
        <w:textAlignment w:val="auto"/>
        <w:rPr>
          <w:rFonts w:hint="default"/>
        </w:rPr>
      </w:pPr>
    </w:p>
    <w:p w14:paraId="3EC7228D">
      <w:pPr>
        <w:spacing w:line="560" w:lineRule="exact"/>
        <w:ind w:firstLine="643"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第四十条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本办法由管理中心负责解释。</w:t>
      </w:r>
    </w:p>
    <w:p w14:paraId="2D58A554">
      <w:pPr>
        <w:spacing w:line="560" w:lineRule="exact"/>
        <w:ind w:firstLine="643"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第四十一条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本办法由管理中心负责组织实施，并可以依据本办法制定</w:t>
      </w:r>
      <w:r>
        <w:rPr>
          <w:rFonts w:hint="eastAsia" w:eastAsia="仿宋_GB2312" w:cs="Times New Roman"/>
          <w:sz w:val="32"/>
          <w:szCs w:val="32"/>
          <w:lang w:val="en-US" w:eastAsia="zh-CN"/>
        </w:rPr>
        <w:t>业务规范</w:t>
      </w:r>
      <w:r>
        <w:rPr>
          <w:rFonts w:hint="default" w:ascii="Times New Roman" w:hAnsi="Times New Roman" w:eastAsia="仿宋_GB2312" w:cs="Times New Roman"/>
          <w:sz w:val="32"/>
          <w:szCs w:val="32"/>
        </w:rPr>
        <w:t>。</w:t>
      </w:r>
    </w:p>
    <w:p w14:paraId="2CDA873D">
      <w:pPr>
        <w:spacing w:line="560" w:lineRule="exact"/>
        <w:ind w:firstLine="643"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第四十二条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本办法自发布之日起执行。</w:t>
      </w:r>
    </w:p>
    <w:p w14:paraId="4BFAD775">
      <w:pPr>
        <w:tabs>
          <w:tab w:val="left" w:pos="5175"/>
        </w:tabs>
        <w:spacing w:line="520" w:lineRule="exact"/>
        <w:rPr>
          <w:rFonts w:ascii="仿宋_GB2312" w:eastAsia="仿宋_GB2312"/>
          <w:sz w:val="32"/>
          <w:szCs w:val="32"/>
        </w:rPr>
      </w:pPr>
    </w:p>
    <w:p w14:paraId="540B26B1">
      <w:pPr>
        <w:pStyle w:val="4"/>
        <w:rPr>
          <w:rFonts w:ascii="仿宋_GB2312" w:eastAsia="仿宋_GB2312"/>
          <w:sz w:val="32"/>
          <w:szCs w:val="32"/>
        </w:rPr>
      </w:pPr>
    </w:p>
    <w:p w14:paraId="3FCFB0EE">
      <w:pPr>
        <w:pStyle w:val="5"/>
        <w:rPr>
          <w:rFonts w:hint="default" w:ascii="Times New Roman" w:hAnsi="Times New Roman" w:eastAsia="仿宋_GB2312" w:cs="Times New Roman"/>
          <w:sz w:val="32"/>
          <w:szCs w:val="32"/>
          <w:u w:val="none"/>
        </w:rPr>
      </w:pPr>
    </w:p>
    <w:p w14:paraId="7BE55534">
      <w:pPr>
        <w:pStyle w:val="5"/>
        <w:rPr>
          <w:rFonts w:hint="default" w:ascii="Times New Roman" w:hAnsi="Times New Roman" w:eastAsia="仿宋_GB2312" w:cs="Times New Roman"/>
          <w:sz w:val="32"/>
          <w:szCs w:val="32"/>
          <w:u w:val="none"/>
        </w:rPr>
      </w:pPr>
    </w:p>
    <w:tbl>
      <w:tblPr>
        <w:tblStyle w:val="14"/>
        <w:tblpPr w:leftFromText="180" w:rightFromText="180" w:vertAnchor="text" w:horzAnchor="page" w:tblpX="1373" w:tblpY="1006"/>
        <w:tblOverlap w:val="never"/>
        <w:tblW w:w="9198" w:type="dxa"/>
        <w:tblInd w:w="0" w:type="dxa"/>
        <w:tblBorders>
          <w:top w:val="single" w:color="auto" w:sz="8" w:space="0"/>
          <w:left w:val="none" w:color="auto" w:sz="0" w:space="0"/>
          <w:bottom w:val="single" w:color="auto" w:sz="8" w:space="0"/>
          <w:right w:val="none" w:color="auto" w:sz="0" w:space="0"/>
          <w:insideH w:val="single" w:color="auto" w:sz="6" w:space="0"/>
          <w:insideV w:val="none" w:color="auto" w:sz="0" w:space="0"/>
        </w:tblBorders>
        <w:tblLayout w:type="fixed"/>
        <w:tblCellMar>
          <w:top w:w="0" w:type="dxa"/>
          <w:left w:w="0" w:type="dxa"/>
          <w:bottom w:w="0" w:type="dxa"/>
          <w:right w:w="0" w:type="dxa"/>
        </w:tblCellMar>
      </w:tblPr>
      <w:tblGrid>
        <w:gridCol w:w="239"/>
        <w:gridCol w:w="4330"/>
        <w:gridCol w:w="4390"/>
        <w:gridCol w:w="239"/>
      </w:tblGrid>
      <w:tr w14:paraId="3487065D">
        <w:tblPrEx>
          <w:tblBorders>
            <w:top w:val="single" w:color="auto" w:sz="8" w:space="0"/>
            <w:left w:val="none" w:color="auto" w:sz="0" w:space="0"/>
            <w:bottom w:val="single" w:color="auto" w:sz="8" w:space="0"/>
            <w:right w:val="none" w:color="auto" w:sz="0" w:space="0"/>
            <w:insideH w:val="single" w:color="auto" w:sz="6" w:space="0"/>
            <w:insideV w:val="none" w:color="auto" w:sz="0" w:space="0"/>
          </w:tblBorders>
          <w:tblCellMar>
            <w:top w:w="0" w:type="dxa"/>
            <w:left w:w="0" w:type="dxa"/>
            <w:bottom w:w="0" w:type="dxa"/>
            <w:right w:w="0" w:type="dxa"/>
          </w:tblCellMar>
        </w:tblPrEx>
        <w:trPr>
          <w:trHeight w:val="634" w:hRule="atLeast"/>
        </w:trPr>
        <w:tc>
          <w:tcPr>
            <w:tcW w:w="239" w:type="dxa"/>
            <w:tcBorders>
              <w:top w:val="single" w:color="auto" w:sz="8" w:space="0"/>
            </w:tcBorders>
            <w:vAlign w:val="center"/>
          </w:tcPr>
          <w:p w14:paraId="55743A45">
            <w:pPr>
              <w:spacing w:line="480" w:lineRule="exact"/>
              <w:jc w:val="center"/>
              <w:rPr>
                <w:rFonts w:hint="default" w:ascii="Times New Roman" w:hAnsi="Times New Roman" w:eastAsia="仿宋_GB2312" w:cs="Times New Roman"/>
                <w:spacing w:val="-6"/>
                <w:sz w:val="28"/>
                <w:szCs w:val="28"/>
              </w:rPr>
            </w:pPr>
          </w:p>
        </w:tc>
        <w:tc>
          <w:tcPr>
            <w:tcW w:w="8720" w:type="dxa"/>
            <w:gridSpan w:val="2"/>
            <w:tcBorders>
              <w:top w:val="single" w:color="auto" w:sz="8" w:space="0"/>
            </w:tcBorders>
            <w:vAlign w:val="center"/>
          </w:tcPr>
          <w:p w14:paraId="3406CE33">
            <w:pPr>
              <w:spacing w:line="480" w:lineRule="exact"/>
              <w:ind w:left="31680" w:hanging="804" w:hangingChars="300"/>
              <w:rPr>
                <w:rFonts w:hint="default" w:ascii="Times New Roman" w:hAnsi="Times New Roman" w:eastAsia="仿宋_GB2312" w:cs="Times New Roman"/>
                <w:spacing w:val="-6"/>
                <w:sz w:val="28"/>
                <w:szCs w:val="28"/>
              </w:rPr>
            </w:pPr>
            <w:r>
              <w:rPr>
                <w:rFonts w:hint="default" w:ascii="Times New Roman" w:hAnsi="Times New Roman" w:eastAsia="仿宋_GB2312" w:cs="Times New Roman"/>
                <w:spacing w:val="-6"/>
                <w:sz w:val="28"/>
                <w:szCs w:val="28"/>
              </w:rPr>
              <w:t>抄</w:t>
            </w:r>
            <w:r>
              <w:rPr>
                <w:rFonts w:hint="default" w:ascii="Times New Roman" w:hAnsi="Times New Roman" w:eastAsia="仿宋_GB2312" w:cs="Times New Roman"/>
                <w:spacing w:val="-6"/>
                <w:sz w:val="28"/>
                <w:szCs w:val="28"/>
                <w:lang w:val="en-US" w:eastAsia="zh-CN"/>
              </w:rPr>
              <w:t>报</w:t>
            </w:r>
            <w:r>
              <w:rPr>
                <w:rFonts w:hint="default" w:ascii="Times New Roman" w:hAnsi="Times New Roman" w:eastAsia="仿宋_GB2312" w:cs="Times New Roman"/>
                <w:spacing w:val="-6"/>
                <w:sz w:val="28"/>
                <w:szCs w:val="28"/>
              </w:rPr>
              <w:t>：</w:t>
            </w:r>
            <w:r>
              <w:rPr>
                <w:rFonts w:hint="default" w:ascii="Times New Roman" w:hAnsi="Times New Roman" w:eastAsia="仿宋_GB2312" w:cs="Times New Roman"/>
                <w:spacing w:val="-6"/>
                <w:sz w:val="28"/>
                <w:szCs w:val="28"/>
                <w:lang w:val="en-US" w:eastAsia="zh-CN"/>
              </w:rPr>
              <w:t>兵团住房公积金管理委员会办公室</w:t>
            </w:r>
            <w:r>
              <w:rPr>
                <w:rFonts w:hint="default" w:ascii="Times New Roman" w:hAnsi="Times New Roman" w:eastAsia="仿宋_GB2312" w:cs="Times New Roman"/>
                <w:spacing w:val="-6"/>
                <w:sz w:val="28"/>
                <w:szCs w:val="28"/>
              </w:rPr>
              <w:t>，</w:t>
            </w:r>
            <w:r>
              <w:rPr>
                <w:rFonts w:hint="default" w:ascii="Times New Roman" w:hAnsi="Times New Roman" w:eastAsia="仿宋_GB2312" w:cs="Times New Roman"/>
                <w:spacing w:val="-6"/>
                <w:sz w:val="28"/>
                <w:szCs w:val="28"/>
                <w:lang w:val="en-US" w:eastAsia="zh-CN"/>
              </w:rPr>
              <w:t>兵团审计局、财政局、住建局</w:t>
            </w:r>
            <w:r>
              <w:rPr>
                <w:rFonts w:hint="default" w:ascii="Times New Roman" w:hAnsi="Times New Roman" w:eastAsia="仿宋_GB2312" w:cs="Times New Roman"/>
                <w:spacing w:val="-6"/>
                <w:sz w:val="28"/>
                <w:szCs w:val="28"/>
              </w:rPr>
              <w:t>。</w:t>
            </w:r>
          </w:p>
        </w:tc>
        <w:tc>
          <w:tcPr>
            <w:tcW w:w="239" w:type="dxa"/>
            <w:tcBorders>
              <w:top w:val="single" w:color="auto" w:sz="8" w:space="0"/>
            </w:tcBorders>
            <w:vAlign w:val="center"/>
          </w:tcPr>
          <w:p w14:paraId="60657EC9">
            <w:pPr>
              <w:spacing w:line="480" w:lineRule="exact"/>
              <w:jc w:val="center"/>
              <w:rPr>
                <w:rFonts w:hint="default" w:ascii="Times New Roman" w:hAnsi="Times New Roman" w:eastAsia="仿宋_GB2312" w:cs="Times New Roman"/>
                <w:spacing w:val="-6"/>
                <w:sz w:val="28"/>
                <w:szCs w:val="28"/>
              </w:rPr>
            </w:pPr>
          </w:p>
        </w:tc>
      </w:tr>
      <w:tr w14:paraId="25FBF684">
        <w:tblPrEx>
          <w:tblBorders>
            <w:top w:val="single" w:color="auto" w:sz="8" w:space="0"/>
            <w:left w:val="none" w:color="auto" w:sz="0" w:space="0"/>
            <w:bottom w:val="single" w:color="auto" w:sz="8" w:space="0"/>
            <w:right w:val="none" w:color="auto" w:sz="0" w:space="0"/>
            <w:insideH w:val="single" w:color="auto" w:sz="6" w:space="0"/>
            <w:insideV w:val="none" w:color="auto" w:sz="0" w:space="0"/>
          </w:tblBorders>
          <w:tblCellMar>
            <w:top w:w="0" w:type="dxa"/>
            <w:left w:w="0" w:type="dxa"/>
            <w:bottom w:w="0" w:type="dxa"/>
            <w:right w:w="0" w:type="dxa"/>
          </w:tblCellMar>
        </w:tblPrEx>
        <w:trPr>
          <w:trHeight w:val="636" w:hRule="atLeast"/>
        </w:trPr>
        <w:tc>
          <w:tcPr>
            <w:tcW w:w="239" w:type="dxa"/>
            <w:tcBorders>
              <w:bottom w:val="single" w:color="auto" w:sz="8" w:space="0"/>
            </w:tcBorders>
            <w:vAlign w:val="center"/>
          </w:tcPr>
          <w:p w14:paraId="0003BF10">
            <w:pPr>
              <w:spacing w:line="480" w:lineRule="exact"/>
              <w:jc w:val="center"/>
              <w:rPr>
                <w:rFonts w:hint="default" w:ascii="Times New Roman" w:hAnsi="Times New Roman" w:eastAsia="仿宋_GB2312" w:cs="Times New Roman"/>
                <w:spacing w:val="-6"/>
                <w:sz w:val="28"/>
                <w:szCs w:val="28"/>
              </w:rPr>
            </w:pPr>
          </w:p>
        </w:tc>
        <w:tc>
          <w:tcPr>
            <w:tcW w:w="4330" w:type="dxa"/>
            <w:tcBorders>
              <w:bottom w:val="single" w:color="auto" w:sz="8" w:space="0"/>
            </w:tcBorders>
            <w:vAlign w:val="center"/>
          </w:tcPr>
          <w:p w14:paraId="7DF1FE65">
            <w:pPr>
              <w:spacing w:line="480" w:lineRule="exact"/>
              <w:rPr>
                <w:rFonts w:hint="default" w:ascii="Times New Roman" w:hAnsi="Times New Roman" w:eastAsia="仿宋_GB2312" w:cs="Times New Roman"/>
                <w:spacing w:val="-6"/>
                <w:sz w:val="28"/>
                <w:szCs w:val="28"/>
              </w:rPr>
            </w:pPr>
            <w:r>
              <w:rPr>
                <w:rFonts w:hint="default" w:ascii="Times New Roman" w:hAnsi="Times New Roman" w:eastAsia="仿宋_GB2312" w:cs="Times New Roman"/>
                <w:spacing w:val="-6"/>
                <w:sz w:val="28"/>
                <w:szCs w:val="28"/>
                <w:lang w:val="en-US" w:eastAsia="zh-CN"/>
              </w:rPr>
              <w:t>兵团住房公积金管理中心</w:t>
            </w:r>
          </w:p>
        </w:tc>
        <w:tc>
          <w:tcPr>
            <w:tcW w:w="4390" w:type="dxa"/>
            <w:tcBorders>
              <w:bottom w:val="single" w:color="auto" w:sz="8" w:space="0"/>
            </w:tcBorders>
            <w:vAlign w:val="center"/>
          </w:tcPr>
          <w:p w14:paraId="13EB824F">
            <w:pPr>
              <w:spacing w:line="480" w:lineRule="exact"/>
              <w:jc w:val="right"/>
              <w:rPr>
                <w:rFonts w:hint="default" w:ascii="Times New Roman" w:hAnsi="Times New Roman" w:eastAsia="仿宋_GB2312" w:cs="Times New Roman"/>
                <w:spacing w:val="-6"/>
                <w:sz w:val="28"/>
                <w:szCs w:val="28"/>
              </w:rPr>
            </w:pPr>
            <w:r>
              <w:rPr>
                <w:rFonts w:hint="default" w:ascii="Times New Roman" w:hAnsi="Times New Roman" w:eastAsia="仿宋_GB2312" w:cs="Times New Roman"/>
                <w:spacing w:val="-6"/>
                <w:sz w:val="28"/>
                <w:szCs w:val="28"/>
              </w:rPr>
              <w:t>20</w:t>
            </w:r>
            <w:r>
              <w:rPr>
                <w:rFonts w:hint="default" w:ascii="Times New Roman" w:hAnsi="Times New Roman" w:eastAsia="仿宋_GB2312" w:cs="Times New Roman"/>
                <w:spacing w:val="-6"/>
                <w:sz w:val="28"/>
                <w:szCs w:val="28"/>
                <w:lang w:val="en-US" w:eastAsia="zh-CN"/>
              </w:rPr>
              <w:t>24</w:t>
            </w:r>
            <w:r>
              <w:rPr>
                <w:rFonts w:hint="default" w:ascii="Times New Roman" w:hAnsi="Times New Roman" w:eastAsia="仿宋_GB2312" w:cs="Times New Roman"/>
                <w:spacing w:val="-6"/>
                <w:sz w:val="28"/>
                <w:szCs w:val="28"/>
              </w:rPr>
              <w:t>年</w:t>
            </w:r>
            <w:r>
              <w:rPr>
                <w:rFonts w:hint="default" w:ascii="Times New Roman" w:hAnsi="Times New Roman" w:eastAsia="仿宋_GB2312" w:cs="Times New Roman"/>
                <w:spacing w:val="-6"/>
                <w:sz w:val="28"/>
                <w:szCs w:val="28"/>
                <w:lang w:val="en-US" w:eastAsia="zh-CN"/>
              </w:rPr>
              <w:t>9</w:t>
            </w:r>
            <w:r>
              <w:rPr>
                <w:rFonts w:hint="default" w:ascii="Times New Roman" w:hAnsi="Times New Roman" w:eastAsia="仿宋_GB2312" w:cs="Times New Roman"/>
                <w:spacing w:val="-6"/>
                <w:sz w:val="28"/>
                <w:szCs w:val="28"/>
              </w:rPr>
              <w:t>月</w:t>
            </w:r>
            <w:r>
              <w:rPr>
                <w:rFonts w:hint="default" w:ascii="Times New Roman" w:hAnsi="Times New Roman" w:eastAsia="仿宋_GB2312" w:cs="Times New Roman"/>
                <w:spacing w:val="-6"/>
                <w:sz w:val="28"/>
                <w:szCs w:val="28"/>
                <w:lang w:val="en-US" w:eastAsia="zh-CN"/>
              </w:rPr>
              <w:t>13</w:t>
            </w:r>
            <w:r>
              <w:rPr>
                <w:rFonts w:hint="default" w:ascii="Times New Roman" w:hAnsi="Times New Roman" w:eastAsia="仿宋_GB2312" w:cs="Times New Roman"/>
                <w:spacing w:val="-6"/>
                <w:sz w:val="28"/>
                <w:szCs w:val="28"/>
              </w:rPr>
              <w:t>日印发</w:t>
            </w:r>
          </w:p>
        </w:tc>
        <w:tc>
          <w:tcPr>
            <w:tcW w:w="239" w:type="dxa"/>
            <w:tcBorders>
              <w:bottom w:val="single" w:color="auto" w:sz="8" w:space="0"/>
            </w:tcBorders>
            <w:vAlign w:val="center"/>
          </w:tcPr>
          <w:p w14:paraId="68DEE799">
            <w:pPr>
              <w:spacing w:line="480" w:lineRule="exact"/>
              <w:jc w:val="center"/>
              <w:rPr>
                <w:rFonts w:hint="default" w:ascii="Times New Roman" w:hAnsi="Times New Roman" w:eastAsia="仿宋_GB2312" w:cs="Times New Roman"/>
                <w:spacing w:val="-6"/>
                <w:sz w:val="28"/>
                <w:szCs w:val="28"/>
              </w:rPr>
            </w:pPr>
          </w:p>
        </w:tc>
      </w:tr>
    </w:tbl>
    <w:p w14:paraId="21C53EA5">
      <w:pPr>
        <w:pStyle w:val="5"/>
        <w:rPr>
          <w:rFonts w:hint="default" w:ascii="Times New Roman" w:hAnsi="Times New Roman" w:eastAsia="仿宋_GB2312" w:cs="Times New Roman"/>
          <w:sz w:val="32"/>
          <w:szCs w:val="32"/>
          <w:u w:val="none"/>
        </w:rPr>
      </w:pPr>
    </w:p>
    <w:p w14:paraId="705CDFAC">
      <w:pPr>
        <w:pStyle w:val="5"/>
        <w:rPr>
          <w:rFonts w:hint="default" w:ascii="Times New Roman" w:hAnsi="Times New Roman" w:eastAsia="仿宋_GB2312" w:cs="Times New Roman"/>
          <w:sz w:val="32"/>
          <w:szCs w:val="32"/>
          <w:u w:val="none"/>
        </w:rPr>
      </w:pPr>
    </w:p>
    <w:p w14:paraId="019961D1">
      <w:pPr>
        <w:pStyle w:val="5"/>
        <w:rPr>
          <w:rFonts w:hint="default" w:ascii="Times New Roman" w:hAnsi="Times New Roman" w:eastAsia="仿宋_GB2312" w:cs="Times New Roman"/>
          <w:sz w:val="32"/>
          <w:szCs w:val="32"/>
          <w:u w:val="none"/>
        </w:rPr>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14:paraId="26581F5F">
      <w:pPr>
        <w:spacing w:line="360" w:lineRule="auto"/>
        <w:rPr>
          <w:rFonts w:hint="default" w:ascii="Times New Roman" w:hAnsi="Times New Roman" w:eastAsia="仿宋_GB2312" w:cs="Times New Roman"/>
          <w:sz w:val="32"/>
          <w:szCs w:val="32"/>
          <w:u w:val="none"/>
        </w:rPr>
      </w:pPr>
    </w:p>
    <w:sectPr>
      <w:footerReference r:id="rId4"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CCAA6">
    <w:pPr>
      <w:pStyle w:val="9"/>
      <w:tabs>
        <w:tab w:val="left" w:pos="7610"/>
        <w:tab w:val="clear" w:pos="4153"/>
      </w:tabs>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0A594F">
                          <w:pPr>
                            <w:pStyle w:val="9"/>
                            <w:rPr>
                              <w:rFonts w:hint="eastAsia" w:ascii="宋体" w:hAnsi="宋体" w:eastAsia="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20A594F">
                    <w:pPr>
                      <w:pStyle w:val="9"/>
                      <w:rPr>
                        <w:rFonts w:hint="eastAsia" w:ascii="宋体" w:hAnsi="宋体" w:eastAsia="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v:textbox>
            </v:shape>
          </w:pict>
        </mc:Fallback>
      </mc:AlternateContent>
    </w:r>
    <w:r>
      <w:rPr>
        <w:rFonts w:hint="eastAsia"/>
        <w:sz w:val="28"/>
        <w:szCs w:val="28"/>
      </w:rPr>
      <w:tab/>
    </w:r>
    <w:r>
      <w:rPr>
        <w:rFonts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43948">
    <w:pPr>
      <w:pStyle w:val="9"/>
      <w:tabs>
        <w:tab w:val="left" w:pos="7610"/>
        <w:tab w:val="clear" w:pos="4153"/>
      </w:tabs>
      <w:rPr>
        <w:sz w:val="28"/>
        <w:szCs w:val="28"/>
      </w:rPr>
    </w:pPr>
    <w:r>
      <w:rPr>
        <w:rFonts w:hint="eastAsia"/>
        <w:sz w:val="28"/>
        <w:szCs w:val="28"/>
      </w:rPr>
      <w:tab/>
    </w:r>
    <w:r>
      <w:rPr>
        <w:rFonts w:hint="eastAsia"/>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kOGM1OWIxNWNhOTU2MmUyMjhiZTI0OTJmYWY2ZDcifQ=="/>
  </w:docVars>
  <w:rsids>
    <w:rsidRoot w:val="00B30D72"/>
    <w:rsid w:val="00001C9E"/>
    <w:rsid w:val="0000600F"/>
    <w:rsid w:val="00006406"/>
    <w:rsid w:val="00012AF4"/>
    <w:rsid w:val="00016A31"/>
    <w:rsid w:val="00016B42"/>
    <w:rsid w:val="00020B79"/>
    <w:rsid w:val="000231B4"/>
    <w:rsid w:val="000313AF"/>
    <w:rsid w:val="00031F59"/>
    <w:rsid w:val="000324A8"/>
    <w:rsid w:val="000336D7"/>
    <w:rsid w:val="00034133"/>
    <w:rsid w:val="00034463"/>
    <w:rsid w:val="00034FEB"/>
    <w:rsid w:val="00035A31"/>
    <w:rsid w:val="00040CF1"/>
    <w:rsid w:val="000422D7"/>
    <w:rsid w:val="00053FBA"/>
    <w:rsid w:val="000548DE"/>
    <w:rsid w:val="00056482"/>
    <w:rsid w:val="00066DFF"/>
    <w:rsid w:val="00067CAB"/>
    <w:rsid w:val="000714ED"/>
    <w:rsid w:val="000722D6"/>
    <w:rsid w:val="0007377B"/>
    <w:rsid w:val="00074C17"/>
    <w:rsid w:val="0007592B"/>
    <w:rsid w:val="00077D99"/>
    <w:rsid w:val="00086721"/>
    <w:rsid w:val="00086FB7"/>
    <w:rsid w:val="00092724"/>
    <w:rsid w:val="000A205A"/>
    <w:rsid w:val="000A5DCB"/>
    <w:rsid w:val="000B4D29"/>
    <w:rsid w:val="000B6CAF"/>
    <w:rsid w:val="000B7A87"/>
    <w:rsid w:val="000C044C"/>
    <w:rsid w:val="000C0906"/>
    <w:rsid w:val="000C7771"/>
    <w:rsid w:val="000C7AC7"/>
    <w:rsid w:val="000C7C54"/>
    <w:rsid w:val="000D015C"/>
    <w:rsid w:val="000D0940"/>
    <w:rsid w:val="000D677A"/>
    <w:rsid w:val="000E2377"/>
    <w:rsid w:val="000E289E"/>
    <w:rsid w:val="000E2ADB"/>
    <w:rsid w:val="000E2BF0"/>
    <w:rsid w:val="000E61A8"/>
    <w:rsid w:val="000E64BB"/>
    <w:rsid w:val="000E7D36"/>
    <w:rsid w:val="000F2047"/>
    <w:rsid w:val="000F4DCC"/>
    <w:rsid w:val="001001D2"/>
    <w:rsid w:val="001005B4"/>
    <w:rsid w:val="00102377"/>
    <w:rsid w:val="001047F3"/>
    <w:rsid w:val="001052FB"/>
    <w:rsid w:val="00114907"/>
    <w:rsid w:val="00120162"/>
    <w:rsid w:val="0012091E"/>
    <w:rsid w:val="00126127"/>
    <w:rsid w:val="00126A52"/>
    <w:rsid w:val="00130ABB"/>
    <w:rsid w:val="0013223B"/>
    <w:rsid w:val="00136799"/>
    <w:rsid w:val="001408BF"/>
    <w:rsid w:val="001413BE"/>
    <w:rsid w:val="001418AB"/>
    <w:rsid w:val="0014212B"/>
    <w:rsid w:val="0014337A"/>
    <w:rsid w:val="00144B85"/>
    <w:rsid w:val="00147C33"/>
    <w:rsid w:val="00150C34"/>
    <w:rsid w:val="0016187B"/>
    <w:rsid w:val="00163A9D"/>
    <w:rsid w:val="00166526"/>
    <w:rsid w:val="001675D6"/>
    <w:rsid w:val="0017028D"/>
    <w:rsid w:val="0017413B"/>
    <w:rsid w:val="00175E48"/>
    <w:rsid w:val="001870F1"/>
    <w:rsid w:val="0019423F"/>
    <w:rsid w:val="0019447F"/>
    <w:rsid w:val="00195300"/>
    <w:rsid w:val="00196797"/>
    <w:rsid w:val="001B057D"/>
    <w:rsid w:val="001B227C"/>
    <w:rsid w:val="001B798A"/>
    <w:rsid w:val="001C61C9"/>
    <w:rsid w:val="001C6312"/>
    <w:rsid w:val="001C703E"/>
    <w:rsid w:val="001D370B"/>
    <w:rsid w:val="001D390A"/>
    <w:rsid w:val="001D4F71"/>
    <w:rsid w:val="001D574A"/>
    <w:rsid w:val="001D79B6"/>
    <w:rsid w:val="001E265D"/>
    <w:rsid w:val="001E2A73"/>
    <w:rsid w:val="001E2C0D"/>
    <w:rsid w:val="001E3624"/>
    <w:rsid w:val="001E52A7"/>
    <w:rsid w:val="001E7E83"/>
    <w:rsid w:val="001F301F"/>
    <w:rsid w:val="001F7D7A"/>
    <w:rsid w:val="00200D87"/>
    <w:rsid w:val="0020756D"/>
    <w:rsid w:val="00210248"/>
    <w:rsid w:val="00213C2C"/>
    <w:rsid w:val="00213FCC"/>
    <w:rsid w:val="00214EB7"/>
    <w:rsid w:val="0021636B"/>
    <w:rsid w:val="00227E36"/>
    <w:rsid w:val="002300F0"/>
    <w:rsid w:val="002316FB"/>
    <w:rsid w:val="00231D59"/>
    <w:rsid w:val="00235BAE"/>
    <w:rsid w:val="00237D1F"/>
    <w:rsid w:val="00243A16"/>
    <w:rsid w:val="002458BD"/>
    <w:rsid w:val="00250D59"/>
    <w:rsid w:val="00251BAD"/>
    <w:rsid w:val="00251EA4"/>
    <w:rsid w:val="00256A86"/>
    <w:rsid w:val="0026003E"/>
    <w:rsid w:val="00265AA9"/>
    <w:rsid w:val="0026766C"/>
    <w:rsid w:val="00267678"/>
    <w:rsid w:val="002728BE"/>
    <w:rsid w:val="00272F91"/>
    <w:rsid w:val="00274745"/>
    <w:rsid w:val="00274F0A"/>
    <w:rsid w:val="002774DC"/>
    <w:rsid w:val="002800A9"/>
    <w:rsid w:val="002802E1"/>
    <w:rsid w:val="002825EE"/>
    <w:rsid w:val="002869BC"/>
    <w:rsid w:val="0029302B"/>
    <w:rsid w:val="002972C1"/>
    <w:rsid w:val="002A0041"/>
    <w:rsid w:val="002A1CED"/>
    <w:rsid w:val="002A4BE0"/>
    <w:rsid w:val="002B11B5"/>
    <w:rsid w:val="002B2292"/>
    <w:rsid w:val="002B6191"/>
    <w:rsid w:val="002B7F3C"/>
    <w:rsid w:val="002C0B8D"/>
    <w:rsid w:val="002C2E35"/>
    <w:rsid w:val="002C46D0"/>
    <w:rsid w:val="002C5214"/>
    <w:rsid w:val="002C74DD"/>
    <w:rsid w:val="002D3235"/>
    <w:rsid w:val="002D76FE"/>
    <w:rsid w:val="002E25F2"/>
    <w:rsid w:val="002E305C"/>
    <w:rsid w:val="002E31E1"/>
    <w:rsid w:val="002E405E"/>
    <w:rsid w:val="002F3097"/>
    <w:rsid w:val="002F5AFD"/>
    <w:rsid w:val="00300A9D"/>
    <w:rsid w:val="00301774"/>
    <w:rsid w:val="003023CD"/>
    <w:rsid w:val="003028DA"/>
    <w:rsid w:val="00303308"/>
    <w:rsid w:val="00305B7B"/>
    <w:rsid w:val="00306814"/>
    <w:rsid w:val="00313808"/>
    <w:rsid w:val="00313CB9"/>
    <w:rsid w:val="00314C02"/>
    <w:rsid w:val="00315829"/>
    <w:rsid w:val="00320F2E"/>
    <w:rsid w:val="003227D3"/>
    <w:rsid w:val="00326405"/>
    <w:rsid w:val="00326E9C"/>
    <w:rsid w:val="00330F8B"/>
    <w:rsid w:val="00331CC6"/>
    <w:rsid w:val="00333A55"/>
    <w:rsid w:val="0034004D"/>
    <w:rsid w:val="0034177E"/>
    <w:rsid w:val="00343C22"/>
    <w:rsid w:val="003452F9"/>
    <w:rsid w:val="003528D6"/>
    <w:rsid w:val="00352CA5"/>
    <w:rsid w:val="00353722"/>
    <w:rsid w:val="0035799C"/>
    <w:rsid w:val="003619D5"/>
    <w:rsid w:val="00362223"/>
    <w:rsid w:val="003632A3"/>
    <w:rsid w:val="00367AFD"/>
    <w:rsid w:val="00372785"/>
    <w:rsid w:val="00383AF4"/>
    <w:rsid w:val="00393319"/>
    <w:rsid w:val="003A17EE"/>
    <w:rsid w:val="003A1D61"/>
    <w:rsid w:val="003A2C22"/>
    <w:rsid w:val="003A3CA6"/>
    <w:rsid w:val="003A6BDB"/>
    <w:rsid w:val="003A6CCD"/>
    <w:rsid w:val="003B204B"/>
    <w:rsid w:val="003B22CE"/>
    <w:rsid w:val="003B2EC9"/>
    <w:rsid w:val="003B33E0"/>
    <w:rsid w:val="003B3BEB"/>
    <w:rsid w:val="003B4E7C"/>
    <w:rsid w:val="003C1CEB"/>
    <w:rsid w:val="003C5D54"/>
    <w:rsid w:val="003C71CA"/>
    <w:rsid w:val="003D0A17"/>
    <w:rsid w:val="003D21DF"/>
    <w:rsid w:val="003E086D"/>
    <w:rsid w:val="003E17B1"/>
    <w:rsid w:val="003E20A9"/>
    <w:rsid w:val="003E211C"/>
    <w:rsid w:val="003E2AE8"/>
    <w:rsid w:val="003E3791"/>
    <w:rsid w:val="003E62FB"/>
    <w:rsid w:val="003E7289"/>
    <w:rsid w:val="003F0C25"/>
    <w:rsid w:val="003F160C"/>
    <w:rsid w:val="003F1663"/>
    <w:rsid w:val="003F27A6"/>
    <w:rsid w:val="003F2D9E"/>
    <w:rsid w:val="003F33A8"/>
    <w:rsid w:val="003F3F14"/>
    <w:rsid w:val="003F587C"/>
    <w:rsid w:val="00400E34"/>
    <w:rsid w:val="00403D7E"/>
    <w:rsid w:val="00405586"/>
    <w:rsid w:val="00406A31"/>
    <w:rsid w:val="00406A8C"/>
    <w:rsid w:val="0041078D"/>
    <w:rsid w:val="00410F93"/>
    <w:rsid w:val="00410FDE"/>
    <w:rsid w:val="004116D4"/>
    <w:rsid w:val="00413678"/>
    <w:rsid w:val="00422B51"/>
    <w:rsid w:val="00423FA9"/>
    <w:rsid w:val="00424964"/>
    <w:rsid w:val="00424C83"/>
    <w:rsid w:val="00425CE6"/>
    <w:rsid w:val="00430125"/>
    <w:rsid w:val="004342B8"/>
    <w:rsid w:val="004412B4"/>
    <w:rsid w:val="00442DA3"/>
    <w:rsid w:val="00443A38"/>
    <w:rsid w:val="00444222"/>
    <w:rsid w:val="004444F7"/>
    <w:rsid w:val="00453CED"/>
    <w:rsid w:val="00453E51"/>
    <w:rsid w:val="0046187B"/>
    <w:rsid w:val="00472798"/>
    <w:rsid w:val="00472951"/>
    <w:rsid w:val="00472CD2"/>
    <w:rsid w:val="004747BF"/>
    <w:rsid w:val="00474CDE"/>
    <w:rsid w:val="00474DB1"/>
    <w:rsid w:val="00475D98"/>
    <w:rsid w:val="00476534"/>
    <w:rsid w:val="00483B98"/>
    <w:rsid w:val="00483F33"/>
    <w:rsid w:val="00487444"/>
    <w:rsid w:val="004901D0"/>
    <w:rsid w:val="00493181"/>
    <w:rsid w:val="00494B38"/>
    <w:rsid w:val="004958F7"/>
    <w:rsid w:val="004A340B"/>
    <w:rsid w:val="004A6739"/>
    <w:rsid w:val="004B095E"/>
    <w:rsid w:val="004B6BAA"/>
    <w:rsid w:val="004C080C"/>
    <w:rsid w:val="004C396E"/>
    <w:rsid w:val="004C5EB1"/>
    <w:rsid w:val="004C5FCD"/>
    <w:rsid w:val="004C774F"/>
    <w:rsid w:val="004D4F2F"/>
    <w:rsid w:val="004D5838"/>
    <w:rsid w:val="004E622F"/>
    <w:rsid w:val="004F0AF1"/>
    <w:rsid w:val="004F2118"/>
    <w:rsid w:val="004F50E3"/>
    <w:rsid w:val="004F61BE"/>
    <w:rsid w:val="00503E21"/>
    <w:rsid w:val="00504AEF"/>
    <w:rsid w:val="00505DD2"/>
    <w:rsid w:val="00513B40"/>
    <w:rsid w:val="00513B4F"/>
    <w:rsid w:val="005148F3"/>
    <w:rsid w:val="00521493"/>
    <w:rsid w:val="00521C64"/>
    <w:rsid w:val="0052394B"/>
    <w:rsid w:val="005241F6"/>
    <w:rsid w:val="005317F1"/>
    <w:rsid w:val="00532423"/>
    <w:rsid w:val="00534E79"/>
    <w:rsid w:val="005375B9"/>
    <w:rsid w:val="00541EC6"/>
    <w:rsid w:val="005429EA"/>
    <w:rsid w:val="00543AE6"/>
    <w:rsid w:val="0054507A"/>
    <w:rsid w:val="00546E2D"/>
    <w:rsid w:val="005506CD"/>
    <w:rsid w:val="005518FE"/>
    <w:rsid w:val="00556196"/>
    <w:rsid w:val="005569AC"/>
    <w:rsid w:val="005572D7"/>
    <w:rsid w:val="0056021D"/>
    <w:rsid w:val="00563599"/>
    <w:rsid w:val="005644E4"/>
    <w:rsid w:val="0056645A"/>
    <w:rsid w:val="00572FEA"/>
    <w:rsid w:val="0057468B"/>
    <w:rsid w:val="005824F2"/>
    <w:rsid w:val="00585B81"/>
    <w:rsid w:val="00587137"/>
    <w:rsid w:val="00587706"/>
    <w:rsid w:val="005879C5"/>
    <w:rsid w:val="00592238"/>
    <w:rsid w:val="00594575"/>
    <w:rsid w:val="00597993"/>
    <w:rsid w:val="005A47E9"/>
    <w:rsid w:val="005A76E8"/>
    <w:rsid w:val="005B20BF"/>
    <w:rsid w:val="005B21C4"/>
    <w:rsid w:val="005B292B"/>
    <w:rsid w:val="005B2B78"/>
    <w:rsid w:val="005B449F"/>
    <w:rsid w:val="005B74DE"/>
    <w:rsid w:val="005B7D0E"/>
    <w:rsid w:val="005C0D7D"/>
    <w:rsid w:val="005C4A86"/>
    <w:rsid w:val="005C4BDB"/>
    <w:rsid w:val="005C6683"/>
    <w:rsid w:val="005D1560"/>
    <w:rsid w:val="005E19BB"/>
    <w:rsid w:val="005E63CA"/>
    <w:rsid w:val="005F0DDA"/>
    <w:rsid w:val="005F43F7"/>
    <w:rsid w:val="005F46CB"/>
    <w:rsid w:val="005F5797"/>
    <w:rsid w:val="005F6C83"/>
    <w:rsid w:val="00603C02"/>
    <w:rsid w:val="00606FC5"/>
    <w:rsid w:val="00607E36"/>
    <w:rsid w:val="006105B0"/>
    <w:rsid w:val="006131B4"/>
    <w:rsid w:val="00621A28"/>
    <w:rsid w:val="00622D97"/>
    <w:rsid w:val="00623984"/>
    <w:rsid w:val="006268B6"/>
    <w:rsid w:val="0062730C"/>
    <w:rsid w:val="006278C6"/>
    <w:rsid w:val="00632AF4"/>
    <w:rsid w:val="006355FA"/>
    <w:rsid w:val="0063657F"/>
    <w:rsid w:val="00637529"/>
    <w:rsid w:val="006403D4"/>
    <w:rsid w:val="0064076F"/>
    <w:rsid w:val="00640807"/>
    <w:rsid w:val="00645197"/>
    <w:rsid w:val="0064716A"/>
    <w:rsid w:val="0064767A"/>
    <w:rsid w:val="00653295"/>
    <w:rsid w:val="006535D5"/>
    <w:rsid w:val="0065621F"/>
    <w:rsid w:val="00660958"/>
    <w:rsid w:val="00662D5D"/>
    <w:rsid w:val="0066426A"/>
    <w:rsid w:val="00665081"/>
    <w:rsid w:val="00666E4A"/>
    <w:rsid w:val="00667804"/>
    <w:rsid w:val="00681576"/>
    <w:rsid w:val="00683254"/>
    <w:rsid w:val="006861B5"/>
    <w:rsid w:val="0068733A"/>
    <w:rsid w:val="006934A3"/>
    <w:rsid w:val="0069463E"/>
    <w:rsid w:val="006973E7"/>
    <w:rsid w:val="006977A4"/>
    <w:rsid w:val="006A7DCC"/>
    <w:rsid w:val="006B3C30"/>
    <w:rsid w:val="006B7536"/>
    <w:rsid w:val="006C34F1"/>
    <w:rsid w:val="006C3B60"/>
    <w:rsid w:val="006C4FA7"/>
    <w:rsid w:val="006C5E5A"/>
    <w:rsid w:val="006C6780"/>
    <w:rsid w:val="006D20F3"/>
    <w:rsid w:val="006D5E13"/>
    <w:rsid w:val="006D71B4"/>
    <w:rsid w:val="006E208E"/>
    <w:rsid w:val="006E211A"/>
    <w:rsid w:val="006E5553"/>
    <w:rsid w:val="006E6498"/>
    <w:rsid w:val="006E6C3C"/>
    <w:rsid w:val="006F0098"/>
    <w:rsid w:val="006F2280"/>
    <w:rsid w:val="006F2C53"/>
    <w:rsid w:val="007001A4"/>
    <w:rsid w:val="00700F86"/>
    <w:rsid w:val="007022D4"/>
    <w:rsid w:val="007023BF"/>
    <w:rsid w:val="00702ABF"/>
    <w:rsid w:val="007057A8"/>
    <w:rsid w:val="00705ACC"/>
    <w:rsid w:val="007073B7"/>
    <w:rsid w:val="00707E3D"/>
    <w:rsid w:val="00707E6B"/>
    <w:rsid w:val="007103CB"/>
    <w:rsid w:val="0072228A"/>
    <w:rsid w:val="007312B7"/>
    <w:rsid w:val="007334BD"/>
    <w:rsid w:val="0073421D"/>
    <w:rsid w:val="007348F3"/>
    <w:rsid w:val="00741FA2"/>
    <w:rsid w:val="00746248"/>
    <w:rsid w:val="00747F88"/>
    <w:rsid w:val="00750678"/>
    <w:rsid w:val="00752037"/>
    <w:rsid w:val="007520AD"/>
    <w:rsid w:val="00752563"/>
    <w:rsid w:val="00754A5E"/>
    <w:rsid w:val="00756EE9"/>
    <w:rsid w:val="007609D1"/>
    <w:rsid w:val="00761D7E"/>
    <w:rsid w:val="00774977"/>
    <w:rsid w:val="0077600C"/>
    <w:rsid w:val="0078204D"/>
    <w:rsid w:val="0078500B"/>
    <w:rsid w:val="00785482"/>
    <w:rsid w:val="00785EFD"/>
    <w:rsid w:val="007910EA"/>
    <w:rsid w:val="0079249A"/>
    <w:rsid w:val="007964D5"/>
    <w:rsid w:val="007A0FD6"/>
    <w:rsid w:val="007A37F4"/>
    <w:rsid w:val="007A40CC"/>
    <w:rsid w:val="007A5AF3"/>
    <w:rsid w:val="007A7D48"/>
    <w:rsid w:val="007A7DA7"/>
    <w:rsid w:val="007B000B"/>
    <w:rsid w:val="007B0DB3"/>
    <w:rsid w:val="007B4D53"/>
    <w:rsid w:val="007C0003"/>
    <w:rsid w:val="007C49DE"/>
    <w:rsid w:val="007C4D07"/>
    <w:rsid w:val="007C75B8"/>
    <w:rsid w:val="007D0991"/>
    <w:rsid w:val="007D1B07"/>
    <w:rsid w:val="007D2386"/>
    <w:rsid w:val="007D32DD"/>
    <w:rsid w:val="007D604B"/>
    <w:rsid w:val="007E0308"/>
    <w:rsid w:val="007E10D4"/>
    <w:rsid w:val="007E4F34"/>
    <w:rsid w:val="007E5693"/>
    <w:rsid w:val="007E6A97"/>
    <w:rsid w:val="007F584A"/>
    <w:rsid w:val="007F5A58"/>
    <w:rsid w:val="007F7FD0"/>
    <w:rsid w:val="008027AF"/>
    <w:rsid w:val="00804CAA"/>
    <w:rsid w:val="00804E96"/>
    <w:rsid w:val="008123BE"/>
    <w:rsid w:val="00812C5D"/>
    <w:rsid w:val="0081755B"/>
    <w:rsid w:val="00817705"/>
    <w:rsid w:val="00820206"/>
    <w:rsid w:val="00824F38"/>
    <w:rsid w:val="00826399"/>
    <w:rsid w:val="008312EA"/>
    <w:rsid w:val="00835287"/>
    <w:rsid w:val="0083791A"/>
    <w:rsid w:val="00840634"/>
    <w:rsid w:val="00845C15"/>
    <w:rsid w:val="00861350"/>
    <w:rsid w:val="0086604C"/>
    <w:rsid w:val="00870CCE"/>
    <w:rsid w:val="00872220"/>
    <w:rsid w:val="008743CD"/>
    <w:rsid w:val="0087485D"/>
    <w:rsid w:val="00877E60"/>
    <w:rsid w:val="0088012A"/>
    <w:rsid w:val="00881023"/>
    <w:rsid w:val="00881607"/>
    <w:rsid w:val="00885FE3"/>
    <w:rsid w:val="00886532"/>
    <w:rsid w:val="00893FFB"/>
    <w:rsid w:val="00894ABF"/>
    <w:rsid w:val="00894FCA"/>
    <w:rsid w:val="00895735"/>
    <w:rsid w:val="008970C9"/>
    <w:rsid w:val="00897ABC"/>
    <w:rsid w:val="008A0464"/>
    <w:rsid w:val="008A4CD2"/>
    <w:rsid w:val="008A7777"/>
    <w:rsid w:val="008A7E6B"/>
    <w:rsid w:val="008B1D79"/>
    <w:rsid w:val="008B1DFD"/>
    <w:rsid w:val="008C1D3E"/>
    <w:rsid w:val="008C6197"/>
    <w:rsid w:val="008D5D8F"/>
    <w:rsid w:val="008D78FC"/>
    <w:rsid w:val="008D7D51"/>
    <w:rsid w:val="008E01ED"/>
    <w:rsid w:val="008E187C"/>
    <w:rsid w:val="008E6988"/>
    <w:rsid w:val="008F5204"/>
    <w:rsid w:val="008F70E0"/>
    <w:rsid w:val="0090381D"/>
    <w:rsid w:val="00906233"/>
    <w:rsid w:val="009107AC"/>
    <w:rsid w:val="0091366D"/>
    <w:rsid w:val="0091572F"/>
    <w:rsid w:val="009200E9"/>
    <w:rsid w:val="00920E33"/>
    <w:rsid w:val="00921ECC"/>
    <w:rsid w:val="00923C58"/>
    <w:rsid w:val="00925001"/>
    <w:rsid w:val="00925AA2"/>
    <w:rsid w:val="0092696F"/>
    <w:rsid w:val="009322EE"/>
    <w:rsid w:val="009324EC"/>
    <w:rsid w:val="00932CCF"/>
    <w:rsid w:val="00934C7B"/>
    <w:rsid w:val="00936074"/>
    <w:rsid w:val="00936B24"/>
    <w:rsid w:val="00940040"/>
    <w:rsid w:val="009403F8"/>
    <w:rsid w:val="0094312D"/>
    <w:rsid w:val="00943E23"/>
    <w:rsid w:val="009472C9"/>
    <w:rsid w:val="00952838"/>
    <w:rsid w:val="00952E49"/>
    <w:rsid w:val="00953F86"/>
    <w:rsid w:val="00956711"/>
    <w:rsid w:val="00960087"/>
    <w:rsid w:val="00960B11"/>
    <w:rsid w:val="00962BA3"/>
    <w:rsid w:val="0096451B"/>
    <w:rsid w:val="009667C1"/>
    <w:rsid w:val="00972795"/>
    <w:rsid w:val="0097283F"/>
    <w:rsid w:val="009763C2"/>
    <w:rsid w:val="009766F6"/>
    <w:rsid w:val="00976CFB"/>
    <w:rsid w:val="00984204"/>
    <w:rsid w:val="009842D0"/>
    <w:rsid w:val="00984E54"/>
    <w:rsid w:val="00993DA8"/>
    <w:rsid w:val="009955FC"/>
    <w:rsid w:val="00996B6A"/>
    <w:rsid w:val="0099744D"/>
    <w:rsid w:val="009979F7"/>
    <w:rsid w:val="009A1383"/>
    <w:rsid w:val="009A3AAF"/>
    <w:rsid w:val="009A5661"/>
    <w:rsid w:val="009A6664"/>
    <w:rsid w:val="009A73B6"/>
    <w:rsid w:val="009B1E34"/>
    <w:rsid w:val="009B486E"/>
    <w:rsid w:val="009C0670"/>
    <w:rsid w:val="009C0EFC"/>
    <w:rsid w:val="009C1056"/>
    <w:rsid w:val="009C2722"/>
    <w:rsid w:val="009C2EED"/>
    <w:rsid w:val="009C44E5"/>
    <w:rsid w:val="009C7BDD"/>
    <w:rsid w:val="009D20C6"/>
    <w:rsid w:val="009D3133"/>
    <w:rsid w:val="009D326F"/>
    <w:rsid w:val="009E06CB"/>
    <w:rsid w:val="009E23BB"/>
    <w:rsid w:val="009E5ADF"/>
    <w:rsid w:val="009F1FB8"/>
    <w:rsid w:val="009F5F87"/>
    <w:rsid w:val="009F6DD3"/>
    <w:rsid w:val="009F72EC"/>
    <w:rsid w:val="00A01BA9"/>
    <w:rsid w:val="00A05934"/>
    <w:rsid w:val="00A05F67"/>
    <w:rsid w:val="00A10B34"/>
    <w:rsid w:val="00A15083"/>
    <w:rsid w:val="00A30117"/>
    <w:rsid w:val="00A31D18"/>
    <w:rsid w:val="00A3277C"/>
    <w:rsid w:val="00A331AD"/>
    <w:rsid w:val="00A33870"/>
    <w:rsid w:val="00A41EAC"/>
    <w:rsid w:val="00A552BB"/>
    <w:rsid w:val="00A64448"/>
    <w:rsid w:val="00A6480F"/>
    <w:rsid w:val="00A65CE4"/>
    <w:rsid w:val="00A71C2E"/>
    <w:rsid w:val="00A7379E"/>
    <w:rsid w:val="00A763AA"/>
    <w:rsid w:val="00A77DE2"/>
    <w:rsid w:val="00A811D8"/>
    <w:rsid w:val="00A81247"/>
    <w:rsid w:val="00A85C28"/>
    <w:rsid w:val="00A916ED"/>
    <w:rsid w:val="00A93912"/>
    <w:rsid w:val="00A93C75"/>
    <w:rsid w:val="00A944C5"/>
    <w:rsid w:val="00A94538"/>
    <w:rsid w:val="00AA1CA2"/>
    <w:rsid w:val="00AA4955"/>
    <w:rsid w:val="00AB134B"/>
    <w:rsid w:val="00AB57C6"/>
    <w:rsid w:val="00AC1E5D"/>
    <w:rsid w:val="00AC363A"/>
    <w:rsid w:val="00AC5A55"/>
    <w:rsid w:val="00AD42ED"/>
    <w:rsid w:val="00AD5FC8"/>
    <w:rsid w:val="00AD63E1"/>
    <w:rsid w:val="00AD67B5"/>
    <w:rsid w:val="00AE0876"/>
    <w:rsid w:val="00AE499C"/>
    <w:rsid w:val="00AE6B27"/>
    <w:rsid w:val="00AE6D62"/>
    <w:rsid w:val="00AF3B87"/>
    <w:rsid w:val="00AF3CAC"/>
    <w:rsid w:val="00B04C73"/>
    <w:rsid w:val="00B05871"/>
    <w:rsid w:val="00B10423"/>
    <w:rsid w:val="00B12095"/>
    <w:rsid w:val="00B126F6"/>
    <w:rsid w:val="00B150D6"/>
    <w:rsid w:val="00B1524F"/>
    <w:rsid w:val="00B2167D"/>
    <w:rsid w:val="00B2277F"/>
    <w:rsid w:val="00B227A6"/>
    <w:rsid w:val="00B22C7F"/>
    <w:rsid w:val="00B23B6A"/>
    <w:rsid w:val="00B25863"/>
    <w:rsid w:val="00B30D72"/>
    <w:rsid w:val="00B32511"/>
    <w:rsid w:val="00B36513"/>
    <w:rsid w:val="00B419AC"/>
    <w:rsid w:val="00B45C70"/>
    <w:rsid w:val="00B47BAF"/>
    <w:rsid w:val="00B506C5"/>
    <w:rsid w:val="00B50FFF"/>
    <w:rsid w:val="00B52D17"/>
    <w:rsid w:val="00B5355A"/>
    <w:rsid w:val="00B53935"/>
    <w:rsid w:val="00B541DB"/>
    <w:rsid w:val="00B56460"/>
    <w:rsid w:val="00B60C82"/>
    <w:rsid w:val="00B62090"/>
    <w:rsid w:val="00B638D0"/>
    <w:rsid w:val="00B63E65"/>
    <w:rsid w:val="00B6445A"/>
    <w:rsid w:val="00B70A9E"/>
    <w:rsid w:val="00B746D4"/>
    <w:rsid w:val="00B76ACD"/>
    <w:rsid w:val="00B86E0B"/>
    <w:rsid w:val="00B91ECE"/>
    <w:rsid w:val="00B9494F"/>
    <w:rsid w:val="00B962E4"/>
    <w:rsid w:val="00BA009E"/>
    <w:rsid w:val="00BA2537"/>
    <w:rsid w:val="00BA45DE"/>
    <w:rsid w:val="00BA6CA6"/>
    <w:rsid w:val="00BB4649"/>
    <w:rsid w:val="00BB53A2"/>
    <w:rsid w:val="00BB748E"/>
    <w:rsid w:val="00BB7CA8"/>
    <w:rsid w:val="00BB7D0E"/>
    <w:rsid w:val="00BC2897"/>
    <w:rsid w:val="00BC4609"/>
    <w:rsid w:val="00BC5DC4"/>
    <w:rsid w:val="00BC73F7"/>
    <w:rsid w:val="00BD0197"/>
    <w:rsid w:val="00BD4156"/>
    <w:rsid w:val="00BD7E83"/>
    <w:rsid w:val="00BE1020"/>
    <w:rsid w:val="00BE3150"/>
    <w:rsid w:val="00BE52F7"/>
    <w:rsid w:val="00BF4FC2"/>
    <w:rsid w:val="00BF622A"/>
    <w:rsid w:val="00BF7637"/>
    <w:rsid w:val="00BF7790"/>
    <w:rsid w:val="00C03369"/>
    <w:rsid w:val="00C11105"/>
    <w:rsid w:val="00C135C3"/>
    <w:rsid w:val="00C16213"/>
    <w:rsid w:val="00C17E0E"/>
    <w:rsid w:val="00C20BBC"/>
    <w:rsid w:val="00C3232B"/>
    <w:rsid w:val="00C32C32"/>
    <w:rsid w:val="00C3590A"/>
    <w:rsid w:val="00C3620B"/>
    <w:rsid w:val="00C42E46"/>
    <w:rsid w:val="00C43005"/>
    <w:rsid w:val="00C453EE"/>
    <w:rsid w:val="00C50A14"/>
    <w:rsid w:val="00C51D2B"/>
    <w:rsid w:val="00C55570"/>
    <w:rsid w:val="00C55626"/>
    <w:rsid w:val="00C63B4A"/>
    <w:rsid w:val="00C65946"/>
    <w:rsid w:val="00C66C4A"/>
    <w:rsid w:val="00C70803"/>
    <w:rsid w:val="00C71F09"/>
    <w:rsid w:val="00C73EE9"/>
    <w:rsid w:val="00C805D5"/>
    <w:rsid w:val="00C82FD7"/>
    <w:rsid w:val="00C8388B"/>
    <w:rsid w:val="00C8400E"/>
    <w:rsid w:val="00C90DC9"/>
    <w:rsid w:val="00C91570"/>
    <w:rsid w:val="00C91B1B"/>
    <w:rsid w:val="00C92D79"/>
    <w:rsid w:val="00C95177"/>
    <w:rsid w:val="00C95720"/>
    <w:rsid w:val="00CA25FF"/>
    <w:rsid w:val="00CA4436"/>
    <w:rsid w:val="00CA58B0"/>
    <w:rsid w:val="00CA688C"/>
    <w:rsid w:val="00CB3375"/>
    <w:rsid w:val="00CB3B2B"/>
    <w:rsid w:val="00CB4906"/>
    <w:rsid w:val="00CB5C86"/>
    <w:rsid w:val="00CB7F2E"/>
    <w:rsid w:val="00CC4F71"/>
    <w:rsid w:val="00CC561B"/>
    <w:rsid w:val="00CC6F31"/>
    <w:rsid w:val="00CD08DE"/>
    <w:rsid w:val="00CD1561"/>
    <w:rsid w:val="00CD290F"/>
    <w:rsid w:val="00CD44D8"/>
    <w:rsid w:val="00CD4915"/>
    <w:rsid w:val="00CD56B0"/>
    <w:rsid w:val="00CE320C"/>
    <w:rsid w:val="00CE42AE"/>
    <w:rsid w:val="00CE671D"/>
    <w:rsid w:val="00CE6E09"/>
    <w:rsid w:val="00CE78C8"/>
    <w:rsid w:val="00CF18E5"/>
    <w:rsid w:val="00CF41B1"/>
    <w:rsid w:val="00CF6F31"/>
    <w:rsid w:val="00D016C8"/>
    <w:rsid w:val="00D027B3"/>
    <w:rsid w:val="00D054A1"/>
    <w:rsid w:val="00D107D9"/>
    <w:rsid w:val="00D1185F"/>
    <w:rsid w:val="00D11A62"/>
    <w:rsid w:val="00D11ED2"/>
    <w:rsid w:val="00D13AB0"/>
    <w:rsid w:val="00D14B51"/>
    <w:rsid w:val="00D1505D"/>
    <w:rsid w:val="00D16275"/>
    <w:rsid w:val="00D20D1D"/>
    <w:rsid w:val="00D2200D"/>
    <w:rsid w:val="00D22178"/>
    <w:rsid w:val="00D23C3D"/>
    <w:rsid w:val="00D3086D"/>
    <w:rsid w:val="00D3385C"/>
    <w:rsid w:val="00D35614"/>
    <w:rsid w:val="00D40A92"/>
    <w:rsid w:val="00D41031"/>
    <w:rsid w:val="00D41ABC"/>
    <w:rsid w:val="00D45CAD"/>
    <w:rsid w:val="00D46900"/>
    <w:rsid w:val="00D46FF6"/>
    <w:rsid w:val="00D5098D"/>
    <w:rsid w:val="00D51195"/>
    <w:rsid w:val="00D52865"/>
    <w:rsid w:val="00D54F14"/>
    <w:rsid w:val="00D606A2"/>
    <w:rsid w:val="00D60D61"/>
    <w:rsid w:val="00D62A38"/>
    <w:rsid w:val="00D638D2"/>
    <w:rsid w:val="00D65FBD"/>
    <w:rsid w:val="00D711C6"/>
    <w:rsid w:val="00D73909"/>
    <w:rsid w:val="00D73C8F"/>
    <w:rsid w:val="00D74233"/>
    <w:rsid w:val="00D776F0"/>
    <w:rsid w:val="00D8336D"/>
    <w:rsid w:val="00D90747"/>
    <w:rsid w:val="00D923FC"/>
    <w:rsid w:val="00D9279B"/>
    <w:rsid w:val="00D93318"/>
    <w:rsid w:val="00D95ECE"/>
    <w:rsid w:val="00D97149"/>
    <w:rsid w:val="00D971B8"/>
    <w:rsid w:val="00DA1081"/>
    <w:rsid w:val="00DA1A4F"/>
    <w:rsid w:val="00DA4836"/>
    <w:rsid w:val="00DA61C2"/>
    <w:rsid w:val="00DA6C06"/>
    <w:rsid w:val="00DB2A3E"/>
    <w:rsid w:val="00DB2BA8"/>
    <w:rsid w:val="00DB405B"/>
    <w:rsid w:val="00DB4E70"/>
    <w:rsid w:val="00DC0565"/>
    <w:rsid w:val="00DC0B6B"/>
    <w:rsid w:val="00DC6AE5"/>
    <w:rsid w:val="00DC7392"/>
    <w:rsid w:val="00DD0115"/>
    <w:rsid w:val="00DD30F3"/>
    <w:rsid w:val="00DD3117"/>
    <w:rsid w:val="00DD7251"/>
    <w:rsid w:val="00DE542F"/>
    <w:rsid w:val="00DE6811"/>
    <w:rsid w:val="00DF50C7"/>
    <w:rsid w:val="00E004C5"/>
    <w:rsid w:val="00E0695C"/>
    <w:rsid w:val="00E11771"/>
    <w:rsid w:val="00E13A94"/>
    <w:rsid w:val="00E14F9F"/>
    <w:rsid w:val="00E14FE6"/>
    <w:rsid w:val="00E24A14"/>
    <w:rsid w:val="00E26910"/>
    <w:rsid w:val="00E2747B"/>
    <w:rsid w:val="00E3101B"/>
    <w:rsid w:val="00E312FC"/>
    <w:rsid w:val="00E35A44"/>
    <w:rsid w:val="00E37A9A"/>
    <w:rsid w:val="00E37E0A"/>
    <w:rsid w:val="00E43595"/>
    <w:rsid w:val="00E440D2"/>
    <w:rsid w:val="00E45A32"/>
    <w:rsid w:val="00E469DC"/>
    <w:rsid w:val="00E536FD"/>
    <w:rsid w:val="00E56ADE"/>
    <w:rsid w:val="00E56CC1"/>
    <w:rsid w:val="00E67C86"/>
    <w:rsid w:val="00E7252C"/>
    <w:rsid w:val="00E759A7"/>
    <w:rsid w:val="00E834CA"/>
    <w:rsid w:val="00E8406D"/>
    <w:rsid w:val="00E85F44"/>
    <w:rsid w:val="00E86922"/>
    <w:rsid w:val="00E86D3F"/>
    <w:rsid w:val="00E90946"/>
    <w:rsid w:val="00E9585C"/>
    <w:rsid w:val="00E96EC5"/>
    <w:rsid w:val="00EA0E6B"/>
    <w:rsid w:val="00EA3A70"/>
    <w:rsid w:val="00EB0246"/>
    <w:rsid w:val="00EB3218"/>
    <w:rsid w:val="00EB4B11"/>
    <w:rsid w:val="00EB6076"/>
    <w:rsid w:val="00EB6A8B"/>
    <w:rsid w:val="00EC4F1F"/>
    <w:rsid w:val="00EC5A04"/>
    <w:rsid w:val="00ED1BB5"/>
    <w:rsid w:val="00ED4571"/>
    <w:rsid w:val="00EE6347"/>
    <w:rsid w:val="00EE6471"/>
    <w:rsid w:val="00EE703C"/>
    <w:rsid w:val="00EE7343"/>
    <w:rsid w:val="00EF3794"/>
    <w:rsid w:val="00EF7F85"/>
    <w:rsid w:val="00F00C68"/>
    <w:rsid w:val="00F01258"/>
    <w:rsid w:val="00F01FFD"/>
    <w:rsid w:val="00F03171"/>
    <w:rsid w:val="00F036B1"/>
    <w:rsid w:val="00F04201"/>
    <w:rsid w:val="00F05159"/>
    <w:rsid w:val="00F05D7C"/>
    <w:rsid w:val="00F15AA4"/>
    <w:rsid w:val="00F2276B"/>
    <w:rsid w:val="00F23F8B"/>
    <w:rsid w:val="00F24B44"/>
    <w:rsid w:val="00F25EFF"/>
    <w:rsid w:val="00F26232"/>
    <w:rsid w:val="00F30D11"/>
    <w:rsid w:val="00F31896"/>
    <w:rsid w:val="00F4017F"/>
    <w:rsid w:val="00F437F7"/>
    <w:rsid w:val="00F442E1"/>
    <w:rsid w:val="00F44EE6"/>
    <w:rsid w:val="00F45567"/>
    <w:rsid w:val="00F5334D"/>
    <w:rsid w:val="00F5474B"/>
    <w:rsid w:val="00F5522D"/>
    <w:rsid w:val="00F62E36"/>
    <w:rsid w:val="00F65C7F"/>
    <w:rsid w:val="00F70245"/>
    <w:rsid w:val="00F743A9"/>
    <w:rsid w:val="00F752A5"/>
    <w:rsid w:val="00F76CE7"/>
    <w:rsid w:val="00F815BF"/>
    <w:rsid w:val="00F84836"/>
    <w:rsid w:val="00F85E72"/>
    <w:rsid w:val="00F936E8"/>
    <w:rsid w:val="00F9495E"/>
    <w:rsid w:val="00F95CE6"/>
    <w:rsid w:val="00F965EF"/>
    <w:rsid w:val="00FA4790"/>
    <w:rsid w:val="00FB350A"/>
    <w:rsid w:val="00FC087A"/>
    <w:rsid w:val="00FC3222"/>
    <w:rsid w:val="00FC39C5"/>
    <w:rsid w:val="00FC3F1A"/>
    <w:rsid w:val="00FC5650"/>
    <w:rsid w:val="00FD1D8C"/>
    <w:rsid w:val="00FD3C59"/>
    <w:rsid w:val="00FD71F5"/>
    <w:rsid w:val="00FE2C4E"/>
    <w:rsid w:val="00FE43D0"/>
    <w:rsid w:val="00FE5669"/>
    <w:rsid w:val="00FE60A2"/>
    <w:rsid w:val="0B297F03"/>
    <w:rsid w:val="143F4C3F"/>
    <w:rsid w:val="1C970362"/>
    <w:rsid w:val="1CF94D1C"/>
    <w:rsid w:val="23126466"/>
    <w:rsid w:val="26CC00B6"/>
    <w:rsid w:val="2F8948A7"/>
    <w:rsid w:val="38E170AF"/>
    <w:rsid w:val="4130183C"/>
    <w:rsid w:val="44BE5443"/>
    <w:rsid w:val="4CF415C6"/>
    <w:rsid w:val="4E254E41"/>
    <w:rsid w:val="4FA74FBE"/>
    <w:rsid w:val="52B36CA2"/>
    <w:rsid w:val="61FE227F"/>
    <w:rsid w:val="6B36446C"/>
    <w:rsid w:val="6D964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19"/>
    <w:qFormat/>
    <w:uiPriority w:val="0"/>
    <w:pPr>
      <w:keepNext/>
      <w:keepLines/>
      <w:spacing w:before="340" w:after="330" w:line="578" w:lineRule="auto"/>
      <w:outlineLvl w:val="0"/>
    </w:pPr>
    <w:rPr>
      <w:b/>
      <w:bCs/>
      <w:kern w:val="44"/>
      <w:sz w:val="44"/>
      <w:szCs w:val="44"/>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Body Text"/>
    <w:basedOn w:val="1"/>
    <w:unhideWhenUsed/>
    <w:qFormat/>
    <w:uiPriority w:val="99"/>
    <w:pPr>
      <w:spacing w:after="120"/>
    </w:pPr>
  </w:style>
  <w:style w:type="paragraph" w:styleId="5">
    <w:name w:val="Body Text First Indent"/>
    <w:basedOn w:val="4"/>
    <w:qFormat/>
    <w:uiPriority w:val="99"/>
    <w:pPr>
      <w:tabs>
        <w:tab w:val="left" w:pos="720"/>
      </w:tabs>
    </w:pPr>
  </w:style>
  <w:style w:type="paragraph" w:styleId="7">
    <w:name w:val="Date"/>
    <w:basedOn w:val="1"/>
    <w:next w:val="1"/>
    <w:qFormat/>
    <w:uiPriority w:val="0"/>
    <w:pPr>
      <w:ind w:left="100" w:leftChars="2500"/>
    </w:pPr>
  </w:style>
  <w:style w:type="paragraph" w:styleId="8">
    <w:name w:val="Balloon Text"/>
    <w:basedOn w:val="1"/>
    <w:semiHidden/>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1">
    <w:name w:val="footnote text"/>
    <w:basedOn w:val="1"/>
    <w:next w:val="4"/>
    <w:qFormat/>
    <w:uiPriority w:val="0"/>
    <w:pPr>
      <w:snapToGrid w:val="0"/>
      <w:jc w:val="left"/>
    </w:pPr>
    <w:rPr>
      <w:szCs w:val="18"/>
    </w:rPr>
  </w:style>
  <w:style w:type="paragraph" w:styleId="12">
    <w:name w:val="Body Text Indent 3"/>
    <w:basedOn w:val="1"/>
    <w:link w:val="21"/>
    <w:qFormat/>
    <w:uiPriority w:val="0"/>
    <w:pPr>
      <w:spacing w:after="120"/>
      <w:ind w:left="420" w:leftChars="200"/>
    </w:pPr>
    <w:rPr>
      <w:sz w:val="16"/>
      <w:szCs w:val="16"/>
    </w:r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5">
    <w:name w:val="Table Grid"/>
    <w:basedOn w:val="1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character" w:customStyle="1" w:styleId="18">
    <w:name w:val="页眉 Char"/>
    <w:basedOn w:val="16"/>
    <w:link w:val="10"/>
    <w:qFormat/>
    <w:uiPriority w:val="0"/>
    <w:rPr>
      <w:kern w:val="2"/>
      <w:sz w:val="18"/>
      <w:szCs w:val="18"/>
    </w:rPr>
  </w:style>
  <w:style w:type="character" w:customStyle="1" w:styleId="19">
    <w:name w:val="标题 1 Char"/>
    <w:basedOn w:val="16"/>
    <w:link w:val="6"/>
    <w:qFormat/>
    <w:uiPriority w:val="0"/>
    <w:rPr>
      <w:b/>
      <w:bCs/>
      <w:kern w:val="44"/>
      <w:sz w:val="44"/>
      <w:szCs w:val="44"/>
    </w:rPr>
  </w:style>
  <w:style w:type="character" w:customStyle="1" w:styleId="20">
    <w:name w:val="正文文本缩进 3 Char"/>
    <w:qFormat/>
    <w:uiPriority w:val="0"/>
    <w:rPr>
      <w:kern w:val="2"/>
      <w:sz w:val="16"/>
      <w:szCs w:val="16"/>
    </w:rPr>
  </w:style>
  <w:style w:type="character" w:customStyle="1" w:styleId="21">
    <w:name w:val="正文文本缩进 3 Char1"/>
    <w:basedOn w:val="16"/>
    <w:link w:val="12"/>
    <w:qFormat/>
    <w:uiPriority w:val="0"/>
    <w:rPr>
      <w:kern w:val="2"/>
      <w:sz w:val="16"/>
      <w:szCs w:val="16"/>
    </w:rPr>
  </w:style>
  <w:style w:type="paragraph" w:styleId="22">
    <w:name w:val="List Paragraph"/>
    <w:basedOn w:val="1"/>
    <w:qFormat/>
    <w:uiPriority w:val="1"/>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aaa</Company>
  <Pages>10</Pages>
  <Words>4032</Words>
  <Characters>4052</Characters>
  <Lines>4</Lines>
  <Paragraphs>27</Paragraphs>
  <TotalTime>65</TotalTime>
  <ScaleCrop>false</ScaleCrop>
  <LinksUpToDate>false</LinksUpToDate>
  <CharactersWithSpaces>4159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2021-10-09T08:19:00Z</dcterms:created>
  <dc:creator>Administrator</dc:creator>
  <cp:lastModifiedBy>Administrator</cp:lastModifiedBy>
  <cp:lastPrinted>2024-09-13T10:26:00Z</cp:lastPrinted>
  <dcterms:modified xsi:type="dcterms:W3CDTF">2025-02-11T11:10:47Z</dcterms:modified>
  <dc:title>新兵房积金字[2010]14号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C9BF0C9D42E34132B1EB06A996DDB2DD_13</vt:lpwstr>
  </property>
  <property fmtid="{D5CDD505-2E9C-101B-9397-08002B2CF9AE}" pid="4" name="KSOTemplateDocerSaveRecord">
    <vt:lpwstr>eyJoZGlkIjoiMTg2MDIyZTNiOGViZDE1NmU4NWI1ZWM1OTc3ZTRjZmEiLCJ1c2VySWQiOiIxNjIzNjE3MDQ1In0=</vt:lpwstr>
  </property>
</Properties>
</file>